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8B" w:rsidRDefault="00B032CF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2017</w:t>
      </w:r>
      <w:r>
        <w:rPr>
          <w:rFonts w:ascii="方正小标宋_GBK" w:eastAsia="方正小标宋_GBK" w:hint="eastAsia"/>
          <w:sz w:val="36"/>
          <w:szCs w:val="36"/>
        </w:rPr>
        <w:t>年</w:t>
      </w:r>
      <w:r>
        <w:rPr>
          <w:rFonts w:ascii="方正小标宋_GBK" w:eastAsia="方正小标宋_GBK" w:hint="eastAsia"/>
          <w:sz w:val="36"/>
          <w:szCs w:val="36"/>
        </w:rPr>
        <w:t>政府决算相关重要事项的说明</w:t>
      </w:r>
    </w:p>
    <w:p w:rsidR="00797E8B" w:rsidRDefault="00797E8B">
      <w:pPr>
        <w:rPr>
          <w:rFonts w:ascii="方正小标宋_GBK" w:eastAsia="方正小标宋_GBK"/>
          <w:sz w:val="32"/>
          <w:szCs w:val="32"/>
        </w:rPr>
      </w:pPr>
    </w:p>
    <w:p w:rsidR="00797E8B" w:rsidRDefault="00B032CF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</w:t>
      </w:r>
      <w:r>
        <w:rPr>
          <w:rFonts w:ascii="方正黑体_GBK" w:eastAsia="方正黑体_GBK" w:hAnsi="仿宋" w:cs="Arial" w:hint="eastAsia"/>
          <w:kern w:val="0"/>
          <w:sz w:val="32"/>
          <w:szCs w:val="32"/>
        </w:rPr>
        <w:t>市（县、区）本级支出预算说明</w:t>
      </w:r>
    </w:p>
    <w:p w:rsidR="00797E8B" w:rsidRDefault="003F79C3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2017年度清流县</w:t>
      </w:r>
      <w:r w:rsidR="00B032CF">
        <w:rPr>
          <w:rFonts w:ascii="仿宋" w:eastAsia="仿宋" w:hAnsi="仿宋" w:cs="Arial" w:hint="eastAsia"/>
          <w:kern w:val="0"/>
          <w:sz w:val="32"/>
          <w:szCs w:val="32"/>
        </w:rPr>
        <w:t>本级一般公共预算支出数为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131006</w:t>
      </w:r>
      <w:r w:rsidR="00B032CF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2016</w:t>
      </w:r>
      <w:r w:rsidR="00B032CF">
        <w:rPr>
          <w:rFonts w:ascii="仿宋" w:eastAsia="仿宋" w:hAnsi="仿宋" w:cs="Arial" w:hint="eastAsia"/>
          <w:kern w:val="0"/>
          <w:sz w:val="32"/>
          <w:szCs w:val="32"/>
        </w:rPr>
        <w:t>年度执行数</w:t>
      </w:r>
      <w:r w:rsidR="00B032CF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110003</w:t>
      </w:r>
      <w:r w:rsidR="00B032CF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19.1</w:t>
      </w:r>
      <w:r w:rsidR="00B032CF">
        <w:rPr>
          <w:rFonts w:ascii="仿宋" w:eastAsia="仿宋" w:hAnsi="仿宋" w:hint="eastAsia"/>
          <w:kern w:val="0"/>
          <w:sz w:val="32"/>
          <w:szCs w:val="32"/>
        </w:rPr>
        <w:t>%</w:t>
      </w:r>
      <w:r w:rsidR="00B032CF">
        <w:rPr>
          <w:rFonts w:ascii="仿宋" w:eastAsia="仿宋" w:hAnsi="仿宋" w:cs="Arial" w:hint="eastAsia"/>
          <w:kern w:val="0"/>
          <w:sz w:val="32"/>
          <w:szCs w:val="32"/>
        </w:rPr>
        <w:t>。具体情况如下</w:t>
      </w:r>
      <w:r w:rsidR="00B032CF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797E8B" w:rsidRDefault="00B032C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一般公共服务支出15135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执行数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5467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56.55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县级部门增加经费、提高津补贴待遇以及相关基础设施建设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797E8B" w:rsidRDefault="00B032C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档案事务638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执行数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533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507.6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我县档案馆进行基础设施建设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97E8B" w:rsidRDefault="00B032C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纪检监察事务939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执行数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473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101.5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当年增加纪委罚没经费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97E8B" w:rsidRDefault="00B032C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政府办公厅（室）及相关机构事务5841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执行数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3381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137.4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我县行政服务中心办公大楼进行装修建设、发放</w:t>
      </w:r>
      <w:proofErr w:type="gramStart"/>
      <w:r w:rsidR="003F79C3">
        <w:rPr>
          <w:rFonts w:ascii="仿宋" w:eastAsia="仿宋" w:hAnsi="仿宋" w:hint="eastAsia"/>
          <w:kern w:val="0"/>
          <w:sz w:val="32"/>
          <w:szCs w:val="32"/>
        </w:rPr>
        <w:t>综治奖以及</w:t>
      </w:r>
      <w:proofErr w:type="gramEnd"/>
      <w:r w:rsidR="003F79C3">
        <w:rPr>
          <w:rFonts w:ascii="仿宋" w:eastAsia="仿宋" w:hAnsi="仿宋" w:hint="eastAsia"/>
          <w:kern w:val="0"/>
          <w:sz w:val="32"/>
          <w:szCs w:val="32"/>
        </w:rPr>
        <w:t>公车平台经费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F79C3" w:rsidRDefault="00B032CF" w:rsidP="003F79C3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教育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30096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F79C3">
        <w:rPr>
          <w:rFonts w:ascii="仿宋" w:eastAsia="仿宋" w:hAnsi="仿宋" w:cs="Arial" w:hint="eastAsia"/>
          <w:kern w:val="0"/>
          <w:sz w:val="32"/>
          <w:szCs w:val="32"/>
        </w:rPr>
        <w:t>执行数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5561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22.7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我县增加教育部</w:t>
      </w:r>
      <w:proofErr w:type="gramStart"/>
      <w:r w:rsidR="003F79C3">
        <w:rPr>
          <w:rFonts w:ascii="仿宋" w:eastAsia="仿宋" w:hAnsi="仿宋" w:hint="eastAsia"/>
          <w:kern w:val="0"/>
          <w:sz w:val="32"/>
          <w:szCs w:val="32"/>
        </w:rPr>
        <w:t>门工资津</w:t>
      </w:r>
      <w:proofErr w:type="gramEnd"/>
      <w:r w:rsidR="003F79C3">
        <w:rPr>
          <w:rFonts w:ascii="仿宋" w:eastAsia="仿宋" w:hAnsi="仿宋" w:hint="eastAsia"/>
          <w:kern w:val="0"/>
          <w:sz w:val="32"/>
          <w:szCs w:val="32"/>
        </w:rPr>
        <w:t>补贴</w:t>
      </w:r>
      <w:r w:rsidR="003F79C3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3F79C3" w:rsidRDefault="003F79C3" w:rsidP="003F79C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1、普通教育27331万元，较上年执行数增加4885万元，增加21.76%。主要原因是我县</w:t>
      </w:r>
      <w:r>
        <w:rPr>
          <w:rFonts w:ascii="仿宋" w:eastAsia="仿宋" w:hAnsi="仿宋" w:hint="eastAsia"/>
          <w:kern w:val="0"/>
          <w:sz w:val="32"/>
          <w:szCs w:val="32"/>
        </w:rPr>
        <w:t>增加教育部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门工资津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补贴</w:t>
      </w:r>
      <w:r>
        <w:rPr>
          <w:rFonts w:ascii="仿宋" w:eastAsia="仿宋" w:hAnsi="仿宋" w:hint="eastAsia"/>
          <w:kern w:val="0"/>
          <w:sz w:val="32"/>
          <w:szCs w:val="32"/>
        </w:rPr>
        <w:t>，如：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综治奖、中央调资以及教师质量提升补助。</w:t>
      </w:r>
    </w:p>
    <w:p w:rsidR="003F79C3" w:rsidRDefault="003F79C3" w:rsidP="003F79C3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（四）城乡社区支出6450万元，较上年执行数增加3766万元，增长140.3%。主要原因是我县加大城市公用设施建设。其中：</w:t>
      </w:r>
    </w:p>
    <w:p w:rsidR="003F79C3" w:rsidRDefault="003F79C3" w:rsidP="003F79C3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其他城乡社区支出4017万元，较</w:t>
      </w:r>
      <w:r>
        <w:rPr>
          <w:rFonts w:ascii="仿宋" w:eastAsia="仿宋" w:hAnsi="仿宋" w:hint="eastAsia"/>
          <w:kern w:val="0"/>
          <w:sz w:val="32"/>
          <w:szCs w:val="32"/>
        </w:rPr>
        <w:t>上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年执行数增加3782万元，增长1163.69%。主要原因是用于</w:t>
      </w:r>
      <w:r>
        <w:rPr>
          <w:rFonts w:ascii="仿宋" w:eastAsia="仿宋" w:hAnsi="仿宋" w:hint="eastAsia"/>
          <w:kern w:val="0"/>
          <w:sz w:val="32"/>
          <w:szCs w:val="32"/>
        </w:rPr>
        <w:t>我县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铜锣山绿道休闲公园项目建设和城市公用设施建设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F79C3" w:rsidRDefault="003F79C3" w:rsidP="003F79C3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（五）商业服务业等支出484万元，较上年执行数减少548万元，下降53.1%。主要原因是2016年当年投入资金进行文化旅游产业建设，属于一次性支出项目，其中：</w:t>
      </w:r>
    </w:p>
    <w:p w:rsidR="003F79C3" w:rsidRDefault="003F79C3" w:rsidP="003F79C3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旅游业管理与服务支出211万元，较</w:t>
      </w:r>
      <w:r>
        <w:rPr>
          <w:rFonts w:ascii="仿宋" w:eastAsia="仿宋" w:hAnsi="仿宋" w:hint="eastAsia"/>
          <w:kern w:val="0"/>
          <w:sz w:val="32"/>
          <w:szCs w:val="32"/>
        </w:rPr>
        <w:t>上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年执行数减少394万元，下降65.12%。主要原因是2016年支出500万元用于文化旅游产业发展项目。</w:t>
      </w:r>
    </w:p>
    <w:p w:rsidR="003F79C3" w:rsidRDefault="003F79C3" w:rsidP="003F79C3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（六）交通运输支出4642万元，较上年执行数增加2924万元，增加170.2%。主要原因是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2017年公共交通运营补助增加</w:t>
      </w:r>
      <w:r>
        <w:rPr>
          <w:rFonts w:ascii="仿宋" w:eastAsia="仿宋" w:hAnsi="仿宋" w:hint="eastAsia"/>
          <w:kern w:val="0"/>
          <w:sz w:val="32"/>
          <w:szCs w:val="32"/>
        </w:rPr>
        <w:t>，其中：</w:t>
      </w:r>
    </w:p>
    <w:p w:rsidR="003F79C3" w:rsidRDefault="003F79C3" w:rsidP="003F79C3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其他交通运输支出270万元，较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执行数164.1增加105.9万元，增长64.5%。主要原因是2017年公共交通运营补助增加。</w:t>
      </w:r>
    </w:p>
    <w:p w:rsidR="003F79C3" w:rsidRPr="003F79C3" w:rsidRDefault="003F79C3" w:rsidP="003F79C3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（七）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资源勘探信息等支出3992万元，较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执行数增加1908万元，增长91.55%。主要原因是兑现企业优惠政策，加大对我县企业的扶持力度。其中：</w:t>
      </w:r>
    </w:p>
    <w:p w:rsidR="003F79C3" w:rsidRPr="003F79C3" w:rsidRDefault="003F79C3" w:rsidP="003F79C3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支持中小企业发展和管理支出 1754万元，较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执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lastRenderedPageBreak/>
        <w:t>行数增加1231万元，增长235.37%。主要原因是兑现县级对企业的优惠政策。</w:t>
      </w:r>
    </w:p>
    <w:p w:rsidR="003F79C3" w:rsidRPr="003F79C3" w:rsidRDefault="003F79C3" w:rsidP="003F79C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3F79C3">
        <w:rPr>
          <w:rFonts w:ascii="仿宋" w:eastAsia="仿宋" w:hAnsi="仿宋" w:hint="eastAsia"/>
          <w:kern w:val="0"/>
          <w:sz w:val="32"/>
          <w:szCs w:val="32"/>
        </w:rPr>
        <w:t>其他资源勘探信息等支出(款)1592万元，</w:t>
      </w:r>
      <w:proofErr w:type="gramStart"/>
      <w:r w:rsidRPr="003F79C3">
        <w:rPr>
          <w:rFonts w:ascii="仿宋" w:eastAsia="仿宋" w:hAnsi="仿宋" w:hint="eastAsia"/>
          <w:kern w:val="0"/>
          <w:sz w:val="32"/>
          <w:szCs w:val="32"/>
        </w:rPr>
        <w:t>较执行</w:t>
      </w:r>
      <w:proofErr w:type="gramEnd"/>
      <w:r w:rsidRPr="003F79C3">
        <w:rPr>
          <w:rFonts w:ascii="仿宋" w:eastAsia="仿宋" w:hAnsi="仿宋" w:hint="eastAsia"/>
          <w:kern w:val="0"/>
          <w:sz w:val="32"/>
          <w:szCs w:val="32"/>
        </w:rPr>
        <w:t>数（或预算数）增加338万元，增长26.95%。主要原因是为推动工业发展，落实经济</w:t>
      </w:r>
      <w:proofErr w:type="gramStart"/>
      <w:r w:rsidRPr="003F79C3">
        <w:rPr>
          <w:rFonts w:ascii="仿宋" w:eastAsia="仿宋" w:hAnsi="仿宋" w:hint="eastAsia"/>
          <w:kern w:val="0"/>
          <w:sz w:val="32"/>
          <w:szCs w:val="32"/>
        </w:rPr>
        <w:t>稳增长</w:t>
      </w:r>
      <w:proofErr w:type="gramEnd"/>
      <w:r w:rsidRPr="003F79C3">
        <w:rPr>
          <w:rFonts w:ascii="仿宋" w:eastAsia="仿宋" w:hAnsi="仿宋" w:hint="eastAsia"/>
          <w:kern w:val="0"/>
          <w:sz w:val="32"/>
          <w:szCs w:val="32"/>
        </w:rPr>
        <w:t>政策，支付企业奖励资金</w:t>
      </w:r>
    </w:p>
    <w:p w:rsidR="00797E8B" w:rsidRDefault="003F79C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二</w:t>
      </w:r>
      <w:r w:rsidR="00B032CF">
        <w:rPr>
          <w:rFonts w:ascii="黑体" w:eastAsia="黑体" w:hAnsi="黑体" w:hint="eastAsia"/>
          <w:sz w:val="32"/>
          <w:szCs w:val="32"/>
        </w:rPr>
        <w:t>、举借政府债务情况</w:t>
      </w:r>
    </w:p>
    <w:p w:rsidR="00797E8B" w:rsidRDefault="00B032CF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年，全</w:t>
      </w:r>
      <w:r>
        <w:rPr>
          <w:rFonts w:ascii="仿宋" w:eastAsia="仿宋" w:hAnsi="仿宋" w:cs="Arial" w:hint="eastAsia"/>
          <w:kern w:val="0"/>
          <w:sz w:val="32"/>
          <w:szCs w:val="32"/>
        </w:rPr>
        <w:t>县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>
        <w:rPr>
          <w:rFonts w:ascii="仿宋" w:eastAsia="仿宋" w:hAnsi="仿宋" w:hint="eastAsia"/>
          <w:kern w:val="0"/>
          <w:sz w:val="32"/>
          <w:szCs w:val="32"/>
        </w:rPr>
        <w:t>27300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>
        <w:rPr>
          <w:rFonts w:ascii="仿宋" w:eastAsia="仿宋" w:hAnsi="仿宋" w:hint="eastAsia"/>
          <w:kern w:val="0"/>
          <w:sz w:val="32"/>
          <w:szCs w:val="32"/>
        </w:rPr>
        <w:t>27300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>
        <w:rPr>
          <w:rFonts w:ascii="仿宋" w:eastAsia="仿宋" w:hAnsi="仿宋" w:hint="eastAsia"/>
          <w:kern w:val="0"/>
          <w:sz w:val="32"/>
          <w:szCs w:val="32"/>
        </w:rPr>
        <w:t>27300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）。截至</w:t>
      </w:r>
      <w:r>
        <w:rPr>
          <w:rFonts w:ascii="仿宋" w:eastAsia="仿宋" w:hAnsi="仿宋" w:hint="eastAsia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年底，全</w:t>
      </w:r>
      <w:r>
        <w:rPr>
          <w:rFonts w:ascii="仿宋" w:eastAsia="仿宋" w:hAnsi="仿宋" w:cs="Arial" w:hint="eastAsia"/>
          <w:kern w:val="0"/>
          <w:sz w:val="32"/>
          <w:szCs w:val="32"/>
        </w:rPr>
        <w:t>县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>
        <w:rPr>
          <w:rFonts w:ascii="仿宋" w:eastAsia="仿宋" w:hAnsi="仿宋" w:hint="eastAsia"/>
          <w:kern w:val="0"/>
          <w:sz w:val="32"/>
          <w:szCs w:val="32"/>
        </w:rPr>
        <w:t>162164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138699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23465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>
        <w:rPr>
          <w:rFonts w:ascii="仿宋" w:eastAsia="仿宋" w:hAnsi="仿宋" w:cs="Arial" w:hint="eastAsia"/>
          <w:kern w:val="0"/>
          <w:sz w:val="32"/>
          <w:szCs w:val="32"/>
        </w:rPr>
        <w:t>县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本级政府债务余额</w:t>
      </w:r>
      <w:r>
        <w:rPr>
          <w:rFonts w:ascii="仿宋" w:eastAsia="仿宋" w:hAnsi="仿宋" w:hint="eastAsia"/>
          <w:kern w:val="0"/>
          <w:sz w:val="32"/>
          <w:szCs w:val="32"/>
        </w:rPr>
        <w:t>162164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138699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23465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），债务余额严格控制在上级核定的限额</w:t>
      </w:r>
      <w:r>
        <w:rPr>
          <w:rFonts w:ascii="仿宋" w:eastAsia="仿宋" w:hAnsi="仿宋" w:hint="eastAsia"/>
          <w:kern w:val="0"/>
          <w:sz w:val="32"/>
          <w:szCs w:val="32"/>
        </w:rPr>
        <w:t>163484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</w:p>
    <w:p w:rsidR="00797E8B" w:rsidRDefault="00B032C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四、预算绩效开展情况</w:t>
      </w:r>
    </w:p>
    <w:p w:rsidR="00797E8B" w:rsidRDefault="00B032CF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kern w:val="0"/>
          <w:sz w:val="32"/>
          <w:szCs w:val="32"/>
        </w:rPr>
        <w:t>县财政部门</w:t>
      </w:r>
      <w:r>
        <w:rPr>
          <w:rFonts w:ascii="仿宋" w:eastAsia="仿宋" w:hAnsi="仿宋" w:hint="eastAsia"/>
          <w:sz w:val="32"/>
          <w:szCs w:val="32"/>
        </w:rPr>
        <w:t>对等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领域</w:t>
      </w:r>
      <w:r>
        <w:rPr>
          <w:rFonts w:ascii="仿宋" w:eastAsia="仿宋" w:hAnsi="仿宋" w:hint="eastAsia"/>
          <w:kern w:val="0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个财政重点支出项目进行了绩效评价，涉及财政资金</w:t>
      </w:r>
      <w:r>
        <w:rPr>
          <w:rFonts w:ascii="仿宋" w:eastAsia="仿宋" w:hAnsi="仿宋" w:hint="eastAsia"/>
          <w:kern w:val="0"/>
          <w:sz w:val="32"/>
          <w:szCs w:val="32"/>
        </w:rPr>
        <w:t>12901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。其中，绩效等级达到“优”的有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项，达到“良”的有</w:t>
      </w:r>
      <w:r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项，评为“合格”的有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项。</w:t>
      </w:r>
    </w:p>
    <w:p w:rsidR="00797E8B" w:rsidRDefault="00797E8B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p w:rsidR="00797E8B" w:rsidRDefault="00B032CF">
      <w:pPr>
        <w:spacing w:line="600" w:lineRule="exact"/>
        <w:ind w:firstLine="6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★★政府决算参照上述格式表述。</w:t>
      </w:r>
    </w:p>
    <w:p w:rsidR="00797E8B" w:rsidRDefault="00797E8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797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CF" w:rsidRDefault="00B032CF" w:rsidP="003F79C3">
      <w:r>
        <w:separator/>
      </w:r>
    </w:p>
  </w:endnote>
  <w:endnote w:type="continuationSeparator" w:id="0">
    <w:p w:rsidR="00B032CF" w:rsidRDefault="00B032CF" w:rsidP="003F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CF" w:rsidRDefault="00B032CF" w:rsidP="003F79C3">
      <w:r>
        <w:separator/>
      </w:r>
    </w:p>
  </w:footnote>
  <w:footnote w:type="continuationSeparator" w:id="0">
    <w:p w:rsidR="00B032CF" w:rsidRDefault="00B032CF" w:rsidP="003F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DB2"/>
    <w:multiLevelType w:val="hybridMultilevel"/>
    <w:tmpl w:val="E1B467E6"/>
    <w:lvl w:ilvl="0" w:tplc="0A0E19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BC5C78"/>
    <w:multiLevelType w:val="hybridMultilevel"/>
    <w:tmpl w:val="01789482"/>
    <w:lvl w:ilvl="0" w:tplc="CA0EEF0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B19353C"/>
    <w:multiLevelType w:val="hybridMultilevel"/>
    <w:tmpl w:val="EF867496"/>
    <w:lvl w:ilvl="0" w:tplc="9E0CC5D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57A3C"/>
    <w:rsid w:val="00313891"/>
    <w:rsid w:val="003F79C3"/>
    <w:rsid w:val="005775D9"/>
    <w:rsid w:val="00580AD9"/>
    <w:rsid w:val="005D12B2"/>
    <w:rsid w:val="00651375"/>
    <w:rsid w:val="00797E8B"/>
    <w:rsid w:val="009D34A6"/>
    <w:rsid w:val="00B032CF"/>
    <w:rsid w:val="00B03E7C"/>
    <w:rsid w:val="00D905AB"/>
    <w:rsid w:val="00E469B6"/>
    <w:rsid w:val="00EE575F"/>
    <w:rsid w:val="00FC6FDA"/>
    <w:rsid w:val="2CA67460"/>
    <w:rsid w:val="6B65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F79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9C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F79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F79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9C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F79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2ED92-41F3-4F78-A258-D1EAD65B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3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何吾志</dc:creator>
  <cp:lastModifiedBy>Microsoft</cp:lastModifiedBy>
  <cp:revision>32</cp:revision>
  <cp:lastPrinted>2018-08-07T04:17:00Z</cp:lastPrinted>
  <dcterms:created xsi:type="dcterms:W3CDTF">2018-01-02T08:12:00Z</dcterms:created>
  <dcterms:modified xsi:type="dcterms:W3CDTF">2018-08-09T03:36:00Z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