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w w:val="95"/>
        </w:rPr>
        <w:t>清流县</w:t>
      </w:r>
      <w:r>
        <w:rPr>
          <w:spacing w:val="54"/>
        </w:rPr>
        <w:t xml:space="preserve"> </w:t>
      </w:r>
      <w:r>
        <w:rPr>
          <w:w w:val="95"/>
        </w:rPr>
        <w:t>2021</w:t>
      </w:r>
      <w:r>
        <w:rPr>
          <w:spacing w:val="51"/>
        </w:rPr>
        <w:t xml:space="preserve"> </w:t>
      </w:r>
      <w:r>
        <w:rPr>
          <w:w w:val="95"/>
        </w:rPr>
        <w:t>年度县本级政府性债务情况说</w:t>
      </w:r>
      <w:r>
        <w:rPr>
          <w:spacing w:val="-10"/>
          <w:w w:val="95"/>
        </w:rPr>
        <w:t>明</w:t>
      </w:r>
    </w:p>
    <w:p>
      <w:pPr>
        <w:pStyle w:val="2"/>
        <w:spacing w:before="6"/>
        <w:rPr>
          <w:sz w:val="5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1" w:lineRule="auto"/>
        <w:ind w:left="107" w:right="106" w:firstLine="638"/>
        <w:textAlignment w:val="auto"/>
        <w:rPr>
          <w:w w:val="99"/>
        </w:rPr>
      </w:pPr>
      <w:r>
        <w:rPr>
          <w:spacing w:val="4"/>
          <w:w w:val="99"/>
        </w:rPr>
        <w:t>我县高度重视地方政府性债务管理工作，把地方政府性债务风险</w:t>
      </w:r>
      <w:r>
        <w:rPr>
          <w:spacing w:val="-2"/>
          <w:w w:val="99"/>
        </w:rPr>
        <w:t>防控列入县委、县政府的工作重点，认真按照中央和省上的部署要求，</w:t>
      </w:r>
      <w:r>
        <w:rPr>
          <w:spacing w:val="4"/>
          <w:w w:val="99"/>
        </w:rPr>
        <w:t>切实重视政府性债务管理工作，认真落实地方政府性债务预算管理，进一步规范政府举债融资行为，全力抓好地方政府债务风险防范化解工作，从严从紧抓好不规范举债融资清理和整改工作，确保不发生区</w:t>
      </w:r>
      <w:r>
        <w:rPr>
          <w:w w:val="99"/>
        </w:rPr>
        <w:t>域性地方政府债务风险。现将</w:t>
      </w:r>
      <w:r>
        <w:rPr>
          <w:spacing w:val="-81"/>
        </w:rPr>
        <w:t xml:space="preserve"> </w:t>
      </w:r>
      <w:r>
        <w:rPr>
          <w:spacing w:val="1"/>
          <w:w w:val="99"/>
        </w:rPr>
        <w:t>202</w:t>
      </w:r>
      <w:r>
        <w:rPr>
          <w:w w:val="99"/>
        </w:rPr>
        <w:t>1</w:t>
      </w:r>
      <w:r>
        <w:rPr>
          <w:spacing w:val="-82"/>
        </w:rPr>
        <w:t xml:space="preserve"> </w:t>
      </w:r>
      <w:r>
        <w:rPr>
          <w:w w:val="99"/>
        </w:rPr>
        <w:t>年地方政府债务情况说明如下：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1" w:lineRule="auto"/>
        <w:ind w:left="746"/>
        <w:textAlignment w:val="auto"/>
        <w:rPr>
          <w:rFonts w:hint="eastAsia" w:ascii="黑体" w:eastAsia="黑体"/>
          <w:w w:val="95"/>
        </w:rPr>
      </w:pPr>
      <w:r>
        <w:rPr>
          <w:rFonts w:hint="eastAsia" w:ascii="黑体" w:eastAsia="黑体"/>
          <w:w w:val="95"/>
        </w:rPr>
        <w:t>债券资金使用安排</w:t>
      </w:r>
    </w:p>
    <w:p>
      <w:pPr>
        <w:keepNext w:val="0"/>
        <w:keepLines w:val="0"/>
        <w:pageBreakBefore w:val="0"/>
        <w:widowControl/>
        <w:suppressLineNumbers w:val="0"/>
        <w:pBdr>
          <w:top w:val="single" w:color="FFFFFF" w:sz="2" w:space="6"/>
          <w:left w:val="single" w:color="FFFFFF" w:sz="2" w:space="6"/>
          <w:bottom w:val="single" w:color="FFFFFF" w:sz="2" w:space="6"/>
          <w:right w:val="single" w:color="FFFFFF" w:sz="2" w:space="6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1" w:lineRule="auto"/>
        <w:ind w:left="0" w:firstLine="648" w:firstLineChars="200"/>
        <w:jc w:val="left"/>
        <w:textAlignment w:val="auto"/>
        <w:rPr>
          <w:rFonts w:hint="eastAsia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  <w:t>20</w:t>
      </w:r>
      <w:r>
        <w:rPr>
          <w:rFonts w:hint="eastAsia" w:cs="宋体"/>
          <w:spacing w:val="4"/>
          <w:w w:val="99"/>
          <w:sz w:val="32"/>
          <w:szCs w:val="32"/>
          <w:lang w:val="en-US" w:eastAsia="zh-CN" w:bidi="ar-SA"/>
        </w:rPr>
        <w:t>22</w:t>
      </w:r>
      <w:r>
        <w:rPr>
          <w:rFonts w:hint="default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  <w:t>年我县新增债务限额</w:t>
      </w:r>
      <w:r>
        <w:rPr>
          <w:rFonts w:hint="eastAsia" w:cs="宋体"/>
          <w:spacing w:val="4"/>
          <w:w w:val="99"/>
          <w:sz w:val="32"/>
          <w:szCs w:val="32"/>
          <w:lang w:val="en-US" w:eastAsia="zh-CN" w:bidi="ar-SA"/>
        </w:rPr>
        <w:t>9.31</w:t>
      </w:r>
      <w:r>
        <w:rPr>
          <w:rFonts w:hint="default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  <w:t>亿元。安排G356线清流沙芜路面改造工程、城市品质综合改造提升工程、城区(龙津镇)道路品质提升、公益性小型水库雨水情测报和安全监测设施实施项目、清流县总医院医疗综合大楼建设项目、泉南高速公路改扩建新增清流县桐坑互通及连接线工程</w:t>
      </w:r>
      <w:r>
        <w:rPr>
          <w:rFonts w:hint="eastAsia" w:cs="宋体"/>
          <w:spacing w:val="4"/>
          <w:w w:val="99"/>
          <w:sz w:val="32"/>
          <w:szCs w:val="32"/>
          <w:lang w:val="en-US" w:eastAsia="zh-CN" w:bidi="ar-SA"/>
        </w:rPr>
        <w:t>、清流县乡镇污水处理设施提升改造及管网扩建工程、清流县学前教育补短板建设项目、清流县金星工业园新材料智慧园区建设项目、清流县城乡环卫一体化提升建设项目、清流职业教育提升工程建设项目、清流县殡仪馆改扩建项目、清流县总医院救治能力整体提升项目、清流县红色文旅教育实践基地及附属设施建设项目、清流县城南工业园基础设施提升工程、清流县城区污水管网新建改造及污水处理厂提标改造项目、清流县第一期老旧小区改造及配套基础设施建设项目、“天籁古坊”产业强镇建设项目、赖坊历史文化名镇基础设施提升项目、清流县乡村振兴试点示范项目等</w:t>
      </w:r>
      <w:r>
        <w:rPr>
          <w:rFonts w:hint="default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  <w:t>。</w:t>
      </w:r>
    </w:p>
    <w:p>
      <w:pPr>
        <w:pStyle w:val="2"/>
        <w:spacing w:before="9"/>
        <w:ind w:left="746"/>
        <w:rPr>
          <w:rFonts w:ascii="黑体" w:eastAsia="黑体"/>
        </w:rPr>
      </w:pPr>
      <w:r>
        <w:rPr>
          <w:rFonts w:hint="eastAsia" w:ascii="黑体" w:eastAsia="黑体"/>
          <w:w w:val="95"/>
          <w:lang w:eastAsia="zh-CN"/>
        </w:rPr>
        <w:t>二</w:t>
      </w:r>
      <w:r>
        <w:rPr>
          <w:rFonts w:ascii="黑体" w:eastAsia="黑体"/>
          <w:w w:val="95"/>
        </w:rPr>
        <w:t>、地方政府债务总体</w:t>
      </w:r>
      <w:r>
        <w:rPr>
          <w:rFonts w:ascii="黑体" w:eastAsia="黑体"/>
          <w:spacing w:val="-5"/>
          <w:w w:val="95"/>
        </w:rPr>
        <w:t>情况</w:t>
      </w:r>
    </w:p>
    <w:p>
      <w:pPr>
        <w:pStyle w:val="2"/>
        <w:spacing w:line="350" w:lineRule="auto"/>
        <w:ind w:left="107" w:right="266" w:firstLine="638"/>
      </w:pPr>
      <w:r>
        <w:rPr>
          <w:w w:val="95"/>
        </w:rPr>
        <w:t>202</w:t>
      </w:r>
      <w:r>
        <w:rPr>
          <w:rFonts w:hint="eastAsia"/>
          <w:w w:val="95"/>
          <w:lang w:val="en-US" w:eastAsia="zh-CN"/>
        </w:rPr>
        <w:t>2</w:t>
      </w:r>
      <w:r>
        <w:rPr>
          <w:spacing w:val="-2"/>
          <w:w w:val="95"/>
        </w:rPr>
        <w:t xml:space="preserve"> 年末全县地方</w:t>
      </w:r>
      <w:r>
        <w:rPr>
          <w:w w:val="95"/>
        </w:rPr>
        <w:t xml:space="preserve">政府债务余额 </w:t>
      </w:r>
      <w:r>
        <w:rPr>
          <w:rFonts w:hint="eastAsia"/>
          <w:w w:val="95"/>
          <w:lang w:val="en-US" w:eastAsia="zh-CN"/>
        </w:rPr>
        <w:t>36.76</w:t>
      </w:r>
      <w:r>
        <w:rPr>
          <w:spacing w:val="-17"/>
          <w:w w:val="95"/>
        </w:rPr>
        <w:t xml:space="preserve"> 亿元，比上</w:t>
      </w:r>
      <w:r>
        <w:rPr>
          <w:w w:val="95"/>
        </w:rPr>
        <w:t>年增加</w:t>
      </w:r>
      <w:r>
        <w:rPr>
          <w:rFonts w:hint="eastAsia"/>
          <w:w w:val="95"/>
          <w:lang w:val="en-US" w:eastAsia="zh-CN"/>
        </w:rPr>
        <w:t>7.19</w:t>
      </w:r>
      <w:r>
        <w:rPr>
          <w:spacing w:val="-1"/>
          <w:w w:val="95"/>
        </w:rPr>
        <w:t xml:space="preserve"> </w:t>
      </w:r>
      <w:r>
        <w:rPr>
          <w:w w:val="95"/>
        </w:rPr>
        <w:t>亿</w:t>
      </w:r>
      <w:r>
        <w:rPr>
          <w:spacing w:val="-2"/>
        </w:rPr>
        <w:t>元，分类债务如下：</w:t>
      </w:r>
    </w:p>
    <w:p>
      <w:pPr>
        <w:pStyle w:val="7"/>
        <w:numPr>
          <w:ilvl w:val="0"/>
          <w:numId w:val="2"/>
        </w:numPr>
        <w:tabs>
          <w:tab w:val="left" w:pos="1073"/>
        </w:tabs>
        <w:spacing w:before="3" w:after="0" w:line="240" w:lineRule="auto"/>
        <w:ind w:left="1072" w:right="0" w:hanging="327"/>
        <w:jc w:val="left"/>
        <w:rPr>
          <w:sz w:val="32"/>
        </w:rPr>
      </w:pPr>
      <w:r>
        <w:rPr>
          <w:w w:val="95"/>
          <w:sz w:val="32"/>
        </w:rPr>
        <w:t>政府负有偿还责任的债务（政府债务）余额</w:t>
      </w:r>
      <w:r>
        <w:rPr>
          <w:rFonts w:hint="eastAsia"/>
          <w:spacing w:val="2"/>
          <w:sz w:val="32"/>
          <w:lang w:val="en-US" w:eastAsia="zh-CN"/>
        </w:rPr>
        <w:t>36.76</w:t>
      </w:r>
      <w:r>
        <w:rPr>
          <w:spacing w:val="-2"/>
          <w:w w:val="95"/>
          <w:sz w:val="32"/>
        </w:rPr>
        <w:t>亿元，比上</w:t>
      </w:r>
    </w:p>
    <w:p>
      <w:pPr>
        <w:pStyle w:val="2"/>
        <w:ind w:left="107"/>
      </w:pPr>
      <w:r>
        <w:rPr>
          <w:w w:val="95"/>
        </w:rPr>
        <w:t>年增加</w:t>
      </w:r>
      <w:r>
        <w:rPr>
          <w:rFonts w:hint="eastAsia"/>
          <w:spacing w:val="72"/>
          <w:lang w:val="en-US" w:eastAsia="zh-CN"/>
        </w:rPr>
        <w:t>7.19</w:t>
      </w:r>
      <w:r>
        <w:rPr>
          <w:w w:val="95"/>
        </w:rPr>
        <w:t>亿元，主要是当年新增地方政府债券资金</w:t>
      </w:r>
      <w:r>
        <w:rPr>
          <w:spacing w:val="-10"/>
          <w:w w:val="95"/>
        </w:rPr>
        <w:t>。</w:t>
      </w:r>
    </w:p>
    <w:p>
      <w:pPr>
        <w:pStyle w:val="7"/>
        <w:numPr>
          <w:ilvl w:val="0"/>
          <w:numId w:val="2"/>
        </w:numPr>
        <w:tabs>
          <w:tab w:val="left" w:pos="1068"/>
        </w:tabs>
        <w:spacing w:before="190" w:after="0" w:line="240" w:lineRule="auto"/>
        <w:ind w:left="1068" w:right="0" w:hanging="322"/>
        <w:jc w:val="left"/>
        <w:rPr>
          <w:sz w:val="32"/>
        </w:rPr>
      </w:pPr>
      <w:r>
        <w:rPr>
          <w:w w:val="95"/>
          <w:sz w:val="32"/>
        </w:rPr>
        <w:t>政府负有担保责任的债务余额</w:t>
      </w:r>
      <w:r>
        <w:rPr>
          <w:spacing w:val="22"/>
          <w:sz w:val="32"/>
        </w:rPr>
        <w:t xml:space="preserve"> </w:t>
      </w:r>
      <w:r>
        <w:rPr>
          <w:w w:val="95"/>
          <w:sz w:val="32"/>
        </w:rPr>
        <w:t>0</w:t>
      </w:r>
      <w:r>
        <w:rPr>
          <w:spacing w:val="25"/>
          <w:sz w:val="32"/>
        </w:rPr>
        <w:t xml:space="preserve"> </w:t>
      </w:r>
      <w:r>
        <w:rPr>
          <w:spacing w:val="-4"/>
          <w:w w:val="95"/>
          <w:sz w:val="32"/>
        </w:rPr>
        <w:t>亿元。</w:t>
      </w:r>
    </w:p>
    <w:p>
      <w:pPr>
        <w:pStyle w:val="7"/>
        <w:numPr>
          <w:ilvl w:val="0"/>
          <w:numId w:val="2"/>
        </w:numPr>
        <w:tabs>
          <w:tab w:val="left" w:pos="1068"/>
        </w:tabs>
        <w:spacing w:before="190" w:after="0" w:line="240" w:lineRule="auto"/>
        <w:ind w:left="1068" w:right="0" w:hanging="322"/>
        <w:jc w:val="left"/>
        <w:rPr>
          <w:sz w:val="32"/>
        </w:rPr>
      </w:pPr>
      <w:r>
        <w:rPr>
          <w:w w:val="95"/>
          <w:sz w:val="32"/>
        </w:rPr>
        <w:t>政府可能承担一定救助责任的债务余额</w:t>
      </w:r>
      <w:r>
        <w:rPr>
          <w:spacing w:val="52"/>
          <w:sz w:val="32"/>
        </w:rPr>
        <w:t xml:space="preserve"> </w:t>
      </w:r>
      <w:r>
        <w:rPr>
          <w:w w:val="95"/>
          <w:sz w:val="32"/>
        </w:rPr>
        <w:t>0</w:t>
      </w:r>
      <w:r>
        <w:rPr>
          <w:spacing w:val="50"/>
          <w:sz w:val="32"/>
        </w:rPr>
        <w:t xml:space="preserve"> </w:t>
      </w:r>
      <w:r>
        <w:rPr>
          <w:spacing w:val="-4"/>
          <w:w w:val="95"/>
          <w:sz w:val="32"/>
        </w:rPr>
        <w:t>亿元。</w:t>
      </w:r>
    </w:p>
    <w:p>
      <w:pPr>
        <w:pStyle w:val="2"/>
        <w:ind w:left="746"/>
        <w:rPr>
          <w:rFonts w:ascii="黑体" w:eastAsia="黑体"/>
        </w:rPr>
      </w:pPr>
      <w:r>
        <w:rPr>
          <w:rFonts w:hint="eastAsia" w:ascii="黑体" w:eastAsia="黑体"/>
          <w:w w:val="95"/>
          <w:lang w:eastAsia="zh-CN"/>
        </w:rPr>
        <w:t>三</w:t>
      </w:r>
      <w:r>
        <w:rPr>
          <w:rFonts w:ascii="黑体" w:eastAsia="黑体"/>
          <w:w w:val="95"/>
        </w:rPr>
        <w:t>、债务限额情</w:t>
      </w:r>
      <w:r>
        <w:rPr>
          <w:rFonts w:ascii="黑体" w:eastAsia="黑体"/>
          <w:spacing w:val="-10"/>
          <w:w w:val="95"/>
        </w:rPr>
        <w:t>况</w:t>
      </w:r>
    </w:p>
    <w:p>
      <w:pPr>
        <w:pStyle w:val="2"/>
        <w:ind w:left="746"/>
      </w:pPr>
      <w:r>
        <w:rPr>
          <w:w w:val="95"/>
        </w:rPr>
        <w:t>根据省财政厅核定，我县</w:t>
      </w:r>
      <w:r>
        <w:rPr>
          <w:spacing w:val="8"/>
        </w:rPr>
        <w:t xml:space="preserve"> </w:t>
      </w:r>
      <w:r>
        <w:rPr>
          <w:w w:val="95"/>
        </w:rPr>
        <w:t>202</w:t>
      </w:r>
      <w:r>
        <w:rPr>
          <w:rFonts w:hint="eastAsia"/>
          <w:w w:val="95"/>
          <w:lang w:val="en-US" w:eastAsia="zh-CN"/>
        </w:rPr>
        <w:t>2</w:t>
      </w:r>
      <w:r>
        <w:rPr>
          <w:spacing w:val="7"/>
        </w:rPr>
        <w:t xml:space="preserve"> </w:t>
      </w:r>
      <w:r>
        <w:rPr>
          <w:w w:val="95"/>
        </w:rPr>
        <w:t>年地方政府债务限额</w:t>
      </w:r>
      <w:r>
        <w:rPr>
          <w:rFonts w:hint="eastAsia"/>
          <w:spacing w:val="13"/>
          <w:lang w:val="en-US" w:eastAsia="zh-CN"/>
        </w:rPr>
        <w:t>39.28</w:t>
      </w:r>
      <w:r>
        <w:rPr>
          <w:spacing w:val="-4"/>
          <w:w w:val="95"/>
        </w:rPr>
        <w:t>亿元，</w:t>
      </w:r>
    </w:p>
    <w:p>
      <w:pPr>
        <w:pStyle w:val="2"/>
        <w:ind w:left="107"/>
      </w:pPr>
      <w:r>
        <w:rPr>
          <w:w w:val="95"/>
        </w:rPr>
        <w:t>其中：一般债务限额</w:t>
      </w:r>
      <w:r>
        <w:rPr>
          <w:rFonts w:hint="eastAsia"/>
          <w:spacing w:val="2"/>
          <w:lang w:val="en-US" w:eastAsia="zh-CN"/>
        </w:rPr>
        <w:t>21.95</w:t>
      </w:r>
      <w:r>
        <w:rPr>
          <w:spacing w:val="5"/>
        </w:rPr>
        <w:t xml:space="preserve"> </w:t>
      </w:r>
      <w:r>
        <w:rPr>
          <w:w w:val="95"/>
        </w:rPr>
        <w:t>亿元，专项债务限额</w:t>
      </w:r>
      <w:r>
        <w:rPr>
          <w:spacing w:val="2"/>
        </w:rPr>
        <w:t xml:space="preserve"> </w:t>
      </w:r>
      <w:r>
        <w:rPr>
          <w:rFonts w:hint="eastAsia"/>
          <w:w w:val="95"/>
          <w:lang w:val="en-US" w:eastAsia="zh-CN"/>
        </w:rPr>
        <w:t>17.33</w:t>
      </w:r>
      <w:r>
        <w:rPr>
          <w:spacing w:val="-4"/>
          <w:w w:val="95"/>
        </w:rPr>
        <w:t>亿元。</w:t>
      </w:r>
    </w:p>
    <w:p>
      <w:pPr>
        <w:pStyle w:val="2"/>
        <w:ind w:left="746"/>
        <w:rPr>
          <w:rFonts w:hint="default" w:eastAsia="宋体"/>
          <w:lang w:val="en-US" w:eastAsia="zh-CN"/>
        </w:rPr>
      </w:pPr>
      <w:r>
        <w:rPr>
          <w:rFonts w:hint="eastAsia"/>
          <w:w w:val="95"/>
          <w:lang w:val="en-US" w:eastAsia="zh-CN"/>
        </w:rPr>
        <w:t>2022</w:t>
      </w:r>
      <w:r>
        <w:rPr>
          <w:w w:val="95"/>
        </w:rPr>
        <w:t>年全县政府负有偿还责任的债</w:t>
      </w:r>
      <w:r>
        <w:rPr>
          <w:spacing w:val="-82"/>
          <w:w w:val="95"/>
        </w:rPr>
        <w:t>务</w:t>
      </w:r>
      <w:r>
        <w:rPr>
          <w:w w:val="95"/>
        </w:rPr>
        <w:t>（政府债务</w:t>
      </w:r>
      <w:r>
        <w:rPr>
          <w:spacing w:val="-84"/>
          <w:w w:val="95"/>
        </w:rPr>
        <w:t>）</w:t>
      </w:r>
      <w:r>
        <w:rPr>
          <w:w w:val="95"/>
        </w:rPr>
        <w:t>年末余额</w:t>
      </w:r>
      <w:r>
        <w:rPr>
          <w:rFonts w:hint="eastAsia"/>
          <w:spacing w:val="19"/>
          <w:w w:val="150"/>
          <w:lang w:val="en-US" w:eastAsia="zh-CN"/>
        </w:rPr>
        <w:t>36.76</w:t>
      </w:r>
    </w:p>
    <w:p>
      <w:pPr>
        <w:pStyle w:val="2"/>
        <w:spacing w:line="350" w:lineRule="auto"/>
        <w:ind w:left="107" w:right="267"/>
      </w:pPr>
      <w:r>
        <w:rPr>
          <w:w w:val="95"/>
        </w:rPr>
        <w:t>亿元，其中：一般债务余额</w:t>
      </w:r>
      <w:r>
        <w:rPr>
          <w:spacing w:val="17"/>
        </w:rPr>
        <w:t xml:space="preserve"> </w:t>
      </w:r>
      <w:r>
        <w:rPr>
          <w:rFonts w:hint="eastAsia"/>
          <w:w w:val="95"/>
          <w:lang w:val="en-US" w:eastAsia="zh-CN"/>
        </w:rPr>
        <w:t>19.43</w:t>
      </w:r>
      <w:r>
        <w:rPr>
          <w:w w:val="95"/>
        </w:rPr>
        <w:t>亿元，专项债务余额</w:t>
      </w:r>
      <w:r>
        <w:rPr>
          <w:spacing w:val="23"/>
        </w:rPr>
        <w:t xml:space="preserve"> </w:t>
      </w:r>
      <w:r>
        <w:rPr>
          <w:rFonts w:hint="eastAsia"/>
          <w:w w:val="95"/>
          <w:lang w:val="en-US" w:eastAsia="zh-CN"/>
        </w:rPr>
        <w:t>17.33</w:t>
      </w:r>
      <w:r>
        <w:rPr>
          <w:w w:val="95"/>
        </w:rPr>
        <w:t>亿元，</w:t>
      </w:r>
      <w:r>
        <w:rPr>
          <w:spacing w:val="-2"/>
        </w:rPr>
        <w:t>均控制在省财政批准的债务限额之内。</w:t>
      </w:r>
      <w:bookmarkStart w:id="0" w:name="_GoBack"/>
      <w:bookmarkEnd w:id="0"/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10"/>
        <w:rPr>
          <w:sz w:val="29"/>
        </w:rPr>
      </w:pPr>
    </w:p>
    <w:p>
      <w:pPr>
        <w:spacing w:before="61"/>
        <w:ind w:left="6736" w:right="0" w:firstLine="0"/>
        <w:jc w:val="lef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10"/>
          <w:sz w:val="28"/>
        </w:rPr>
        <w:t>—</w:t>
      </w:r>
    </w:p>
    <w:sectPr>
      <w:type w:val="continuous"/>
      <w:pgSz w:w="11910" w:h="16840"/>
      <w:pgMar w:top="1580" w:right="64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2" w:hanging="32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84" w:hanging="32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89" w:hanging="32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98" w:hanging="32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03" w:hanging="32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07" w:hanging="32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12" w:hanging="32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16" w:hanging="327"/>
      </w:pPr>
      <w:rPr>
        <w:rFonts w:hint="default"/>
        <w:lang w:val="en-US" w:eastAsia="zh-CN" w:bidi="ar-SA"/>
      </w:rPr>
    </w:lvl>
  </w:abstractNum>
  <w:abstractNum w:abstractNumId="1">
    <w:nsid w:val="5E310B39"/>
    <w:multiLevelType w:val="singleLevel"/>
    <w:tmpl w:val="5E310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7CD200A"/>
    <w:rsid w:val="7BC77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2"/>
      <w:ind w:left="693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1068" w:hanging="322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2023-09-22T03:38:00Z</dcterms:created>
  <dc:creator>预算科/吴闽虹</dc:creator>
  <cp:lastModifiedBy>Administrator</cp:lastModifiedBy>
  <dcterms:modified xsi:type="dcterms:W3CDTF">2023-10-20T07:17:46Z</dcterms:modified>
  <dc:title>2014年本级政府性债务情况说明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2023-09-22T00:00:00Z</vt:filetime>
  </property>
  <property fmtid="{D5CDD505-2E9C-101B-9397-08002B2CF9AE}" pid="5" name="SourceModified">
    <vt:lpwstr>D:20220120175855+09'58'</vt:lpwstr>
  </property>
  <property fmtid="{D5CDD505-2E9C-101B-9397-08002B2CF9AE}" pid="6" name="KSOProductBuildVer">
    <vt:lpwstr>2052-11.1.0.11194</vt:lpwstr>
  </property>
  <property fmtid="{D5CDD505-2E9C-101B-9397-08002B2CF9AE}" pid="7" name="ICV">
    <vt:lpwstr>CDE882035D9541759D4704858F80307B</vt:lpwstr>
  </property>
</Properties>
</file>