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jc w:val="center"/>
        <w:rPr>
          <w:rFonts w:ascii="方正小标宋简体" w:hAnsi="仿宋" w:eastAsia="方正小标宋简体" w:cs="宋体"/>
          <w:kern w:val="0"/>
          <w:sz w:val="44"/>
          <w:szCs w:val="44"/>
        </w:rPr>
      </w:pPr>
      <w:bookmarkStart w:id="0" w:name="fbt"/>
      <w:r>
        <w:rPr>
          <w:rFonts w:hint="eastAsia" w:ascii="方正小标宋简体" w:hAnsi="仿宋" w:eastAsia="方正小标宋简体" w:cs="宋体"/>
          <w:kern w:val="0"/>
          <w:sz w:val="44"/>
          <w:szCs w:val="44"/>
        </w:rPr>
        <w:t>202</w:t>
      </w:r>
      <w:r>
        <w:rPr>
          <w:rFonts w:hint="eastAsia" w:ascii="方正小标宋简体" w:hAnsi="仿宋" w:eastAsia="方正小标宋简体" w:cs="宋体"/>
          <w:kern w:val="0"/>
          <w:sz w:val="44"/>
          <w:szCs w:val="44"/>
          <w:lang w:val="en-US" w:eastAsia="zh-CN"/>
        </w:rPr>
        <w:t>2</w:t>
      </w:r>
      <w:r>
        <w:rPr>
          <w:rFonts w:hint="eastAsia" w:ascii="方正小标宋简体" w:hAnsi="仿宋" w:eastAsia="方正小标宋简体" w:cs="宋体"/>
          <w:kern w:val="0"/>
          <w:sz w:val="44"/>
          <w:szCs w:val="44"/>
        </w:rPr>
        <w:t>年度</w:t>
      </w:r>
      <w:r>
        <w:rPr>
          <w:rFonts w:hint="eastAsia" w:ascii="方正小标宋简体" w:hAnsi="仿宋" w:eastAsia="方正小标宋简体" w:cs="宋体"/>
          <w:kern w:val="0"/>
          <w:sz w:val="44"/>
          <w:szCs w:val="44"/>
          <w:lang w:eastAsia="zh-CN"/>
        </w:rPr>
        <w:t>清流</w:t>
      </w:r>
      <w:r>
        <w:rPr>
          <w:rFonts w:hint="eastAsia" w:ascii="方正小标宋简体" w:hAnsi="仿宋" w:eastAsia="方正小标宋简体" w:cs="宋体"/>
          <w:kern w:val="0"/>
          <w:sz w:val="44"/>
          <w:szCs w:val="44"/>
        </w:rPr>
        <w:t>县本级</w:t>
      </w:r>
    </w:p>
    <w:p>
      <w:pPr>
        <w:widowControl/>
        <w:snapToGrid w:val="0"/>
        <w:spacing w:afterLines="50" w:line="600" w:lineRule="exact"/>
        <w:jc w:val="center"/>
        <w:rPr>
          <w:rFonts w:ascii="仿宋" w:hAnsi="仿宋" w:eastAsia="仿宋"/>
          <w:sz w:val="32"/>
          <w:szCs w:val="32"/>
        </w:rPr>
      </w:pPr>
      <w:r>
        <w:rPr>
          <w:rFonts w:hint="eastAsia" w:ascii="方正小标宋简体" w:hAnsi="仿宋" w:eastAsia="方正小标宋简体" w:cs="宋体"/>
          <w:kern w:val="0"/>
          <w:sz w:val="44"/>
          <w:szCs w:val="44"/>
        </w:rPr>
        <w:t>“三公”经费决算支出情况</w:t>
      </w:r>
      <w:bookmarkEnd w:id="0"/>
    </w:p>
    <w:p>
      <w:pPr>
        <w:spacing w:line="480" w:lineRule="exact"/>
        <w:ind w:firstLine="645"/>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2</w:t>
      </w:r>
      <w:r>
        <w:rPr>
          <w:rFonts w:hint="eastAsia" w:ascii="仿宋_GB2312" w:hAnsi="仿宋" w:eastAsia="仿宋_GB2312"/>
          <w:sz w:val="32"/>
          <w:szCs w:val="32"/>
        </w:rPr>
        <w:t>年度县本级“三公”经费财政拨款支出</w:t>
      </w:r>
      <w:r>
        <w:rPr>
          <w:rFonts w:hint="eastAsia" w:ascii="仿宋_GB2312" w:hAnsi="仿宋" w:eastAsia="仿宋_GB2312"/>
          <w:sz w:val="32"/>
          <w:szCs w:val="32"/>
          <w:lang w:val="en-US" w:eastAsia="zh-CN"/>
        </w:rPr>
        <w:t>550</w:t>
      </w:r>
      <w:r>
        <w:rPr>
          <w:rFonts w:hint="eastAsia" w:ascii="仿宋_GB2312" w:hAnsi="仿宋" w:eastAsia="仿宋_GB2312"/>
          <w:sz w:val="32"/>
          <w:szCs w:val="32"/>
        </w:rPr>
        <w:t>万元，比上年决算数减少</w:t>
      </w:r>
      <w:r>
        <w:rPr>
          <w:rFonts w:hint="eastAsia" w:ascii="仿宋_GB2312" w:hAnsi="仿宋" w:eastAsia="仿宋_GB2312"/>
          <w:sz w:val="32"/>
          <w:szCs w:val="32"/>
          <w:lang w:val="en-US" w:eastAsia="zh-CN"/>
        </w:rPr>
        <w:t>1</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下降</w:t>
      </w:r>
      <w:r>
        <w:rPr>
          <w:rFonts w:hint="eastAsia" w:ascii="仿宋_GB2312" w:hAnsi="仿宋" w:eastAsia="仿宋_GB2312"/>
          <w:sz w:val="32"/>
          <w:szCs w:val="32"/>
          <w:lang w:val="en-US" w:eastAsia="zh-CN"/>
        </w:rPr>
        <w:t>0.18</w:t>
      </w:r>
      <w:r>
        <w:rPr>
          <w:rFonts w:hint="eastAsia" w:ascii="仿宋_GB2312" w:hAnsi="仿宋" w:eastAsia="仿宋_GB2312"/>
          <w:sz w:val="32"/>
          <w:szCs w:val="32"/>
        </w:rPr>
        <w:t>%。</w:t>
      </w:r>
      <w:r>
        <w:rPr>
          <w:rFonts w:hint="eastAsia" w:ascii="仿宋_GB2312" w:hAnsi="仿宋" w:eastAsia="仿宋_GB2312"/>
          <w:sz w:val="32"/>
          <w:szCs w:val="32"/>
          <w:lang w:eastAsia="zh-CN"/>
        </w:rPr>
        <w:t>年初预算数</w:t>
      </w:r>
      <w:r>
        <w:rPr>
          <w:rFonts w:hint="eastAsia" w:ascii="仿宋_GB2312" w:hAnsi="仿宋" w:eastAsia="仿宋_GB2312"/>
          <w:sz w:val="32"/>
          <w:szCs w:val="32"/>
          <w:lang w:val="en-US" w:eastAsia="zh-CN"/>
        </w:rPr>
        <w:t>904万，比年初预算数减少354万，下降39.16%。</w:t>
      </w:r>
      <w:r>
        <w:rPr>
          <w:rFonts w:hint="eastAsia" w:ascii="仿宋_GB2312" w:hAnsi="仿宋" w:eastAsia="仿宋_GB2312"/>
          <w:sz w:val="32"/>
          <w:szCs w:val="32"/>
        </w:rPr>
        <w:t>具体情况如下：</w:t>
      </w:r>
      <w:r>
        <w:rPr>
          <w:rFonts w:hint="eastAsia" w:ascii="仿宋_GB2312" w:hAnsi="仿宋" w:eastAsia="仿宋_GB2312"/>
          <w:sz w:val="32"/>
          <w:szCs w:val="32"/>
        </w:rPr>
        <w:br w:type="textWrapping"/>
      </w:r>
      <w:r>
        <w:rPr>
          <w:rFonts w:hint="eastAsia" w:ascii="仿宋_GB2312" w:hAnsi="仿宋" w:eastAsia="仿宋_GB2312"/>
          <w:sz w:val="32"/>
          <w:szCs w:val="32"/>
        </w:rPr>
        <w:t>　　一、因公出国（境）费支出0万元，比年初预算的</w:t>
      </w:r>
      <w:r>
        <w:rPr>
          <w:rFonts w:hint="eastAsia" w:ascii="仿宋_GB2312" w:hAnsi="仿宋" w:eastAsia="仿宋_GB2312"/>
          <w:sz w:val="32"/>
          <w:szCs w:val="32"/>
          <w:lang w:val="en-US" w:eastAsia="zh-CN"/>
        </w:rPr>
        <w:t>4</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4万元</w:t>
      </w:r>
      <w:r>
        <w:rPr>
          <w:rFonts w:hint="eastAsia" w:ascii="仿宋_GB2312" w:hAnsi="仿宋" w:eastAsia="仿宋_GB2312"/>
          <w:sz w:val="32"/>
          <w:szCs w:val="32"/>
        </w:rPr>
        <w:t>。全年安排本部门组织的出国团组0个，全年因公出国（境）累计0人次。主要是:1.因疫情影响，减少出国安排；2.根据福建省人民政府办公室关于坚持精打细算过紧日子加强支出管理的通知，严控因公出国（境）经费。</w:t>
      </w:r>
    </w:p>
    <w:p>
      <w:pPr>
        <w:spacing w:line="480" w:lineRule="exact"/>
        <w:ind w:firstLine="645"/>
        <w:rPr>
          <w:rFonts w:hint="eastAsia" w:ascii="仿宋_GB2312" w:hAnsi="仿宋" w:eastAsia="仿宋_GB2312"/>
          <w:sz w:val="32"/>
          <w:szCs w:val="32"/>
        </w:rPr>
      </w:pPr>
      <w:r>
        <w:rPr>
          <w:rFonts w:hint="eastAsia" w:ascii="仿宋_GB2312" w:hAnsi="仿宋" w:eastAsia="仿宋_GB2312"/>
          <w:sz w:val="32"/>
          <w:szCs w:val="32"/>
        </w:rPr>
        <w:t>二、公务用车购置及运行费支出</w:t>
      </w:r>
      <w:r>
        <w:rPr>
          <w:rFonts w:hint="eastAsia" w:ascii="仿宋_GB2312" w:hAnsi="仿宋" w:eastAsia="仿宋_GB2312"/>
          <w:sz w:val="32"/>
          <w:szCs w:val="32"/>
          <w:lang w:val="en-US" w:eastAsia="zh-CN"/>
        </w:rPr>
        <w:t>322</w:t>
      </w:r>
      <w:r>
        <w:rPr>
          <w:rFonts w:hint="eastAsia" w:ascii="仿宋_GB2312" w:hAnsi="仿宋" w:eastAsia="仿宋_GB2312"/>
          <w:sz w:val="32"/>
          <w:szCs w:val="32"/>
        </w:rPr>
        <w:t>万元</w:t>
      </w:r>
      <w:r>
        <w:rPr>
          <w:rFonts w:hint="eastAsia" w:ascii="仿宋_GB2312" w:hAnsi="仿宋" w:eastAsia="仿宋_GB2312"/>
          <w:sz w:val="32"/>
          <w:szCs w:val="32"/>
          <w:lang w:eastAsia="zh-CN"/>
        </w:rPr>
        <w:t>，比上年决算数减少</w:t>
      </w:r>
      <w:r>
        <w:rPr>
          <w:rFonts w:hint="eastAsia" w:ascii="仿宋_GB2312" w:hAnsi="仿宋" w:eastAsia="仿宋_GB2312"/>
          <w:sz w:val="32"/>
          <w:szCs w:val="32"/>
          <w:lang w:val="en-US" w:eastAsia="zh-CN"/>
        </w:rPr>
        <w:t>15万，年初预算数574万，比年初预算数减少252万。</w:t>
      </w:r>
      <w:r>
        <w:rPr>
          <w:rFonts w:hint="eastAsia" w:ascii="仿宋_GB2312" w:hAnsi="仿宋" w:eastAsia="仿宋_GB2312"/>
          <w:sz w:val="32"/>
          <w:szCs w:val="32"/>
        </w:rPr>
        <w:t>其中：公务用车购置经费</w:t>
      </w:r>
      <w:r>
        <w:rPr>
          <w:rFonts w:hint="eastAsia" w:ascii="仿宋_GB2312" w:hAnsi="仿宋" w:eastAsia="仿宋_GB2312"/>
          <w:sz w:val="32"/>
          <w:szCs w:val="32"/>
          <w:lang w:val="en-US" w:eastAsia="zh-CN"/>
        </w:rPr>
        <w:t>93</w:t>
      </w:r>
      <w:r>
        <w:rPr>
          <w:rFonts w:hint="eastAsia" w:ascii="仿宋_GB2312" w:hAnsi="仿宋" w:eastAsia="仿宋_GB2312"/>
          <w:sz w:val="32"/>
          <w:szCs w:val="32"/>
        </w:rPr>
        <w:t>万元，与上年决算数相比</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15万，</w:t>
      </w:r>
      <w:r>
        <w:rPr>
          <w:rFonts w:hint="eastAsia" w:ascii="仿宋_GB2312" w:hAnsi="仿宋" w:eastAsia="仿宋_GB2312"/>
          <w:sz w:val="32"/>
          <w:szCs w:val="32"/>
        </w:rPr>
        <w:t>下降</w:t>
      </w:r>
      <w:r>
        <w:rPr>
          <w:rFonts w:hint="eastAsia" w:ascii="仿宋_GB2312" w:hAnsi="仿宋" w:eastAsia="仿宋_GB2312"/>
          <w:sz w:val="32"/>
          <w:szCs w:val="32"/>
          <w:lang w:val="en-US" w:eastAsia="zh-CN"/>
        </w:rPr>
        <w:t>13.89</w:t>
      </w:r>
      <w:r>
        <w:rPr>
          <w:rFonts w:hint="eastAsia" w:ascii="仿宋_GB2312" w:hAnsi="仿宋" w:eastAsia="仿宋_GB2312"/>
          <w:sz w:val="32"/>
          <w:szCs w:val="32"/>
        </w:rPr>
        <w:t>%</w:t>
      </w:r>
      <w:r>
        <w:rPr>
          <w:rFonts w:hint="eastAsia" w:ascii="仿宋_GB2312" w:hAnsi="仿宋" w:eastAsia="仿宋_GB2312"/>
          <w:sz w:val="32"/>
          <w:szCs w:val="32"/>
          <w:lang w:eastAsia="zh-CN"/>
        </w:rPr>
        <w:t>，年初预算数</w:t>
      </w:r>
      <w:r>
        <w:rPr>
          <w:rFonts w:hint="eastAsia" w:ascii="仿宋_GB2312" w:hAnsi="仿宋" w:eastAsia="仿宋_GB2312"/>
          <w:sz w:val="32"/>
          <w:szCs w:val="32"/>
          <w:lang w:val="en-US" w:eastAsia="zh-CN"/>
        </w:rPr>
        <w:t>300万元，与年初预算数相比减少206万元</w:t>
      </w:r>
      <w:r>
        <w:rPr>
          <w:rFonts w:hint="eastAsia" w:ascii="仿宋_GB2312" w:hAnsi="仿宋" w:eastAsia="仿宋_GB2312"/>
          <w:sz w:val="32"/>
          <w:szCs w:val="32"/>
          <w:lang w:eastAsia="zh-CN"/>
        </w:rPr>
        <w:t>；</w:t>
      </w:r>
      <w:r>
        <w:rPr>
          <w:rFonts w:hint="eastAsia" w:ascii="仿宋_GB2312" w:hAnsi="仿宋" w:eastAsia="仿宋_GB2312"/>
          <w:sz w:val="32"/>
          <w:szCs w:val="32"/>
        </w:rPr>
        <w:t>公务用车运行经费229万元，上年决算数</w:t>
      </w:r>
      <w:r>
        <w:rPr>
          <w:rFonts w:hint="eastAsia" w:ascii="仿宋_GB2312" w:hAnsi="仿宋" w:eastAsia="仿宋_GB2312"/>
          <w:sz w:val="32"/>
          <w:szCs w:val="32"/>
          <w:lang w:val="en-US" w:eastAsia="zh-CN"/>
        </w:rPr>
        <w:t>229万元，</w:t>
      </w:r>
      <w:r>
        <w:rPr>
          <w:rFonts w:hint="eastAsia" w:ascii="仿宋_GB2312" w:hAnsi="仿宋" w:eastAsia="仿宋_GB2312"/>
          <w:sz w:val="32"/>
          <w:szCs w:val="32"/>
          <w:lang w:eastAsia="zh-CN"/>
        </w:rPr>
        <w:t>年初预算数</w:t>
      </w:r>
      <w:r>
        <w:rPr>
          <w:rFonts w:hint="eastAsia" w:ascii="仿宋_GB2312" w:hAnsi="仿宋" w:eastAsia="仿宋_GB2312"/>
          <w:sz w:val="32"/>
          <w:szCs w:val="32"/>
          <w:lang w:val="en-US" w:eastAsia="zh-CN"/>
        </w:rPr>
        <w:t>274万元，与年初预算数相比减少45万元</w:t>
      </w:r>
      <w:r>
        <w:rPr>
          <w:rFonts w:hint="eastAsia" w:ascii="仿宋_GB2312" w:hAnsi="仿宋" w:eastAsia="仿宋_GB2312"/>
          <w:sz w:val="32"/>
          <w:szCs w:val="32"/>
        </w:rPr>
        <w:t>。</w:t>
      </w:r>
    </w:p>
    <w:p>
      <w:pPr>
        <w:spacing w:line="48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三、公务接待费</w:t>
      </w:r>
      <w:r>
        <w:rPr>
          <w:rFonts w:hint="eastAsia" w:ascii="仿宋_GB2312" w:hAnsi="仿宋" w:eastAsia="仿宋_GB2312"/>
          <w:sz w:val="32"/>
          <w:szCs w:val="32"/>
          <w:lang w:val="en-US" w:eastAsia="zh-CN"/>
        </w:rPr>
        <w:t>228</w:t>
      </w:r>
      <w:r>
        <w:rPr>
          <w:rFonts w:hint="eastAsia" w:ascii="仿宋_GB2312" w:hAnsi="仿宋" w:eastAsia="仿宋_GB2312"/>
          <w:sz w:val="32"/>
          <w:szCs w:val="32"/>
        </w:rPr>
        <w:t>万元，</w:t>
      </w:r>
      <w:r>
        <w:rPr>
          <w:rFonts w:hint="eastAsia" w:ascii="仿宋_GB2312" w:hAnsi="仿宋" w:eastAsia="仿宋_GB2312"/>
          <w:sz w:val="32"/>
          <w:szCs w:val="32"/>
          <w:lang w:eastAsia="zh-CN"/>
        </w:rPr>
        <w:t>比</w:t>
      </w:r>
      <w:r>
        <w:rPr>
          <w:rFonts w:hint="eastAsia" w:ascii="仿宋_GB2312" w:hAnsi="仿宋" w:eastAsia="仿宋_GB2312"/>
          <w:sz w:val="32"/>
          <w:szCs w:val="32"/>
        </w:rPr>
        <w:t>上年</w:t>
      </w:r>
      <w:bookmarkStart w:id="1" w:name="_GoBack"/>
      <w:bookmarkEnd w:id="1"/>
      <w:r>
        <w:rPr>
          <w:rFonts w:hint="eastAsia" w:ascii="仿宋_GB2312" w:hAnsi="仿宋" w:eastAsia="仿宋_GB2312"/>
          <w:sz w:val="32"/>
          <w:szCs w:val="32"/>
        </w:rPr>
        <w:t>决算数</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15万元，</w:t>
      </w:r>
      <w:r>
        <w:rPr>
          <w:rFonts w:hint="eastAsia" w:ascii="仿宋_GB2312" w:hAnsi="仿宋" w:eastAsia="仿宋_GB2312"/>
          <w:sz w:val="32"/>
          <w:szCs w:val="32"/>
        </w:rPr>
        <w:t>增长</w:t>
      </w:r>
      <w:r>
        <w:rPr>
          <w:rFonts w:hint="eastAsia" w:ascii="仿宋_GB2312" w:hAnsi="仿宋" w:eastAsia="仿宋_GB2312"/>
          <w:sz w:val="32"/>
          <w:szCs w:val="32"/>
          <w:lang w:val="en-US" w:eastAsia="zh-CN"/>
        </w:rPr>
        <w:t>7.04</w:t>
      </w:r>
      <w:r>
        <w:rPr>
          <w:rFonts w:hint="eastAsia" w:ascii="仿宋_GB2312" w:hAnsi="仿宋" w:eastAsia="仿宋_GB2312"/>
          <w:sz w:val="32"/>
          <w:szCs w:val="32"/>
        </w:rPr>
        <w:t>%</w:t>
      </w:r>
      <w:r>
        <w:rPr>
          <w:rFonts w:hint="eastAsia" w:ascii="仿宋_GB2312" w:hAnsi="仿宋" w:eastAsia="仿宋_GB2312"/>
          <w:sz w:val="32"/>
          <w:szCs w:val="32"/>
          <w:lang w:eastAsia="zh-CN"/>
        </w:rPr>
        <w:t>年初预算数</w:t>
      </w:r>
      <w:r>
        <w:rPr>
          <w:rFonts w:hint="eastAsia" w:ascii="仿宋_GB2312" w:hAnsi="仿宋" w:eastAsia="仿宋_GB2312"/>
          <w:sz w:val="32"/>
          <w:szCs w:val="32"/>
          <w:lang w:val="en-US" w:eastAsia="zh-CN"/>
        </w:rPr>
        <w:t>326万元，比年初预算数减少98万元，下降42.98%，</w:t>
      </w:r>
      <w:r>
        <w:rPr>
          <w:rFonts w:hint="eastAsia" w:ascii="仿宋_GB2312" w:hAnsi="仿宋" w:eastAsia="仿宋_GB2312"/>
          <w:sz w:val="32"/>
          <w:szCs w:val="32"/>
        </w:rPr>
        <w:t>累计接待</w:t>
      </w:r>
      <w:r>
        <w:rPr>
          <w:rFonts w:hint="eastAsia" w:ascii="仿宋_GB2312" w:hAnsi="仿宋" w:eastAsia="仿宋_GB2312"/>
          <w:sz w:val="32"/>
          <w:szCs w:val="32"/>
          <w:lang w:val="en-US" w:eastAsia="zh-CN"/>
        </w:rPr>
        <w:t>4652</w:t>
      </w:r>
      <w:r>
        <w:rPr>
          <w:rFonts w:hint="eastAsia" w:ascii="仿宋_GB2312" w:hAnsi="仿宋" w:eastAsia="仿宋_GB2312"/>
          <w:sz w:val="32"/>
          <w:szCs w:val="32"/>
        </w:rPr>
        <w:t>批次、</w:t>
      </w:r>
      <w:r>
        <w:rPr>
          <w:rFonts w:hint="eastAsia" w:ascii="仿宋_GB2312" w:hAnsi="仿宋" w:eastAsia="仿宋_GB2312"/>
          <w:sz w:val="32"/>
          <w:szCs w:val="32"/>
          <w:lang w:val="en-US" w:eastAsia="zh-CN"/>
        </w:rPr>
        <w:t>29470</w:t>
      </w:r>
      <w:r>
        <w:rPr>
          <w:rFonts w:hint="eastAsia" w:ascii="仿宋_GB2312" w:hAnsi="仿宋" w:eastAsia="仿宋_GB2312"/>
          <w:sz w:val="32"/>
          <w:szCs w:val="32"/>
        </w:rPr>
        <w:t>人次。</w:t>
      </w:r>
      <w:r>
        <w:rPr>
          <w:rFonts w:hint="eastAsia" w:ascii="仿宋_GB2312" w:hAnsi="仿宋" w:eastAsia="仿宋_GB2312"/>
          <w:sz w:val="32"/>
          <w:szCs w:val="32"/>
          <w:lang w:eastAsia="zh-CN"/>
        </w:rPr>
        <w:t>增加的主要原因：一是2021年部分费用在2022年实际支付；二是市、县调研招待、邻县同级单位交流学习等方面的接待活动、招商活动、各种工作会议，挂村工作等频次增加。</w:t>
      </w:r>
    </w:p>
    <w:p>
      <w:pPr>
        <w:spacing w:line="4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公”经费决算下降的主要原因是我县为全面深入贯彻落实中央八项规定精神，加强对“三公”经费的管理，中国共产党清流县纪律检查委员会联合清流县财政局推出公用经费在线监管平台，动态监控各部门三公经费使用情况，有效防止部门和单位对财政资金的挤占、挪用和截留，真正实现事前事中有效控制，从源头上控制三公经费支出行为。</w:t>
      </w:r>
    </w:p>
    <w:sectPr>
      <w:pgSz w:w="11906" w:h="16838"/>
      <w:pgMar w:top="1440"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28F4"/>
    <w:rsid w:val="00006A17"/>
    <w:rsid w:val="00016AB5"/>
    <w:rsid w:val="00070922"/>
    <w:rsid w:val="00072E15"/>
    <w:rsid w:val="00080904"/>
    <w:rsid w:val="000816C4"/>
    <w:rsid w:val="000B7CF9"/>
    <w:rsid w:val="000F28F4"/>
    <w:rsid w:val="000F6DA7"/>
    <w:rsid w:val="00110AFE"/>
    <w:rsid w:val="001132BB"/>
    <w:rsid w:val="001273FA"/>
    <w:rsid w:val="00180CD7"/>
    <w:rsid w:val="001904AD"/>
    <w:rsid w:val="00193374"/>
    <w:rsid w:val="001A3070"/>
    <w:rsid w:val="001A50A3"/>
    <w:rsid w:val="001B2299"/>
    <w:rsid w:val="001D6FB2"/>
    <w:rsid w:val="001E60DF"/>
    <w:rsid w:val="001F3E3A"/>
    <w:rsid w:val="00203D87"/>
    <w:rsid w:val="00215F6F"/>
    <w:rsid w:val="0021753E"/>
    <w:rsid w:val="00265998"/>
    <w:rsid w:val="002662B4"/>
    <w:rsid w:val="0027571B"/>
    <w:rsid w:val="00293700"/>
    <w:rsid w:val="002A4B07"/>
    <w:rsid w:val="002B3E7B"/>
    <w:rsid w:val="002D0E27"/>
    <w:rsid w:val="002D135E"/>
    <w:rsid w:val="002D5802"/>
    <w:rsid w:val="002E434E"/>
    <w:rsid w:val="002F163D"/>
    <w:rsid w:val="0030072A"/>
    <w:rsid w:val="0032029D"/>
    <w:rsid w:val="00327611"/>
    <w:rsid w:val="003560D1"/>
    <w:rsid w:val="003603F0"/>
    <w:rsid w:val="0038318E"/>
    <w:rsid w:val="00393B3F"/>
    <w:rsid w:val="003B7E5C"/>
    <w:rsid w:val="003C24AA"/>
    <w:rsid w:val="003D668E"/>
    <w:rsid w:val="003F7B42"/>
    <w:rsid w:val="00436CFC"/>
    <w:rsid w:val="00440270"/>
    <w:rsid w:val="0044591E"/>
    <w:rsid w:val="004531DF"/>
    <w:rsid w:val="0048048A"/>
    <w:rsid w:val="004A6800"/>
    <w:rsid w:val="004B14E4"/>
    <w:rsid w:val="004C0795"/>
    <w:rsid w:val="004C714E"/>
    <w:rsid w:val="004E0296"/>
    <w:rsid w:val="004F2FAA"/>
    <w:rsid w:val="00501D82"/>
    <w:rsid w:val="00512A23"/>
    <w:rsid w:val="00530FB5"/>
    <w:rsid w:val="00542EEB"/>
    <w:rsid w:val="005448DC"/>
    <w:rsid w:val="00555407"/>
    <w:rsid w:val="00557539"/>
    <w:rsid w:val="00564E98"/>
    <w:rsid w:val="0056694D"/>
    <w:rsid w:val="00571F1B"/>
    <w:rsid w:val="005734F5"/>
    <w:rsid w:val="00585786"/>
    <w:rsid w:val="00590B11"/>
    <w:rsid w:val="005A3EEF"/>
    <w:rsid w:val="005B283E"/>
    <w:rsid w:val="005B4902"/>
    <w:rsid w:val="005D2676"/>
    <w:rsid w:val="005E0982"/>
    <w:rsid w:val="005F2F20"/>
    <w:rsid w:val="005F6A7E"/>
    <w:rsid w:val="00601C16"/>
    <w:rsid w:val="006059B3"/>
    <w:rsid w:val="00637FAB"/>
    <w:rsid w:val="00640566"/>
    <w:rsid w:val="006407AC"/>
    <w:rsid w:val="006428A5"/>
    <w:rsid w:val="00651265"/>
    <w:rsid w:val="00652A17"/>
    <w:rsid w:val="00654472"/>
    <w:rsid w:val="00671142"/>
    <w:rsid w:val="006713B2"/>
    <w:rsid w:val="00673BBF"/>
    <w:rsid w:val="00694B87"/>
    <w:rsid w:val="00697DAF"/>
    <w:rsid w:val="006A216F"/>
    <w:rsid w:val="006B2C64"/>
    <w:rsid w:val="006C1427"/>
    <w:rsid w:val="006F6D1D"/>
    <w:rsid w:val="00711839"/>
    <w:rsid w:val="007245B7"/>
    <w:rsid w:val="00732F36"/>
    <w:rsid w:val="00736908"/>
    <w:rsid w:val="00736C8D"/>
    <w:rsid w:val="00762F07"/>
    <w:rsid w:val="0076388D"/>
    <w:rsid w:val="0079034A"/>
    <w:rsid w:val="007A29B7"/>
    <w:rsid w:val="007A349D"/>
    <w:rsid w:val="007A42EE"/>
    <w:rsid w:val="007B585E"/>
    <w:rsid w:val="007B6867"/>
    <w:rsid w:val="0080212E"/>
    <w:rsid w:val="00807669"/>
    <w:rsid w:val="00811EAD"/>
    <w:rsid w:val="0082697F"/>
    <w:rsid w:val="00863613"/>
    <w:rsid w:val="00893CCF"/>
    <w:rsid w:val="008A7CAA"/>
    <w:rsid w:val="008B1709"/>
    <w:rsid w:val="008B17A2"/>
    <w:rsid w:val="008B7CB9"/>
    <w:rsid w:val="008D095F"/>
    <w:rsid w:val="008D5926"/>
    <w:rsid w:val="00920A36"/>
    <w:rsid w:val="00924719"/>
    <w:rsid w:val="00927F71"/>
    <w:rsid w:val="00942FC1"/>
    <w:rsid w:val="009463C7"/>
    <w:rsid w:val="00946C28"/>
    <w:rsid w:val="009569AA"/>
    <w:rsid w:val="009573F3"/>
    <w:rsid w:val="00971129"/>
    <w:rsid w:val="00975440"/>
    <w:rsid w:val="009816AE"/>
    <w:rsid w:val="009A4B4B"/>
    <w:rsid w:val="009A520B"/>
    <w:rsid w:val="009B7BA1"/>
    <w:rsid w:val="009D78FF"/>
    <w:rsid w:val="009E0913"/>
    <w:rsid w:val="00A13FED"/>
    <w:rsid w:val="00A37EDE"/>
    <w:rsid w:val="00A44C42"/>
    <w:rsid w:val="00A465D4"/>
    <w:rsid w:val="00A47162"/>
    <w:rsid w:val="00A56076"/>
    <w:rsid w:val="00AA193E"/>
    <w:rsid w:val="00AA5948"/>
    <w:rsid w:val="00AF1FE0"/>
    <w:rsid w:val="00B06F7A"/>
    <w:rsid w:val="00B21856"/>
    <w:rsid w:val="00B22EC8"/>
    <w:rsid w:val="00B31B0F"/>
    <w:rsid w:val="00B40255"/>
    <w:rsid w:val="00B41890"/>
    <w:rsid w:val="00B43C89"/>
    <w:rsid w:val="00B5035A"/>
    <w:rsid w:val="00B52BDA"/>
    <w:rsid w:val="00B55185"/>
    <w:rsid w:val="00B64338"/>
    <w:rsid w:val="00B64E8E"/>
    <w:rsid w:val="00B86B71"/>
    <w:rsid w:val="00BA0DDB"/>
    <w:rsid w:val="00BA336C"/>
    <w:rsid w:val="00BA76BC"/>
    <w:rsid w:val="00BB0289"/>
    <w:rsid w:val="00BB2040"/>
    <w:rsid w:val="00BC2F24"/>
    <w:rsid w:val="00BF671B"/>
    <w:rsid w:val="00C027B3"/>
    <w:rsid w:val="00C03938"/>
    <w:rsid w:val="00C11B05"/>
    <w:rsid w:val="00C12DF4"/>
    <w:rsid w:val="00C14A8C"/>
    <w:rsid w:val="00C16C42"/>
    <w:rsid w:val="00C22761"/>
    <w:rsid w:val="00C45410"/>
    <w:rsid w:val="00C6696C"/>
    <w:rsid w:val="00C66A61"/>
    <w:rsid w:val="00CA7154"/>
    <w:rsid w:val="00CA79E6"/>
    <w:rsid w:val="00CB40CA"/>
    <w:rsid w:val="00CC2F03"/>
    <w:rsid w:val="00CC7FBD"/>
    <w:rsid w:val="00CD0453"/>
    <w:rsid w:val="00D37147"/>
    <w:rsid w:val="00D44541"/>
    <w:rsid w:val="00D53653"/>
    <w:rsid w:val="00D55081"/>
    <w:rsid w:val="00D6587B"/>
    <w:rsid w:val="00D707F3"/>
    <w:rsid w:val="00D728EF"/>
    <w:rsid w:val="00DA6ADB"/>
    <w:rsid w:val="00DC58DE"/>
    <w:rsid w:val="00DE089E"/>
    <w:rsid w:val="00DF7089"/>
    <w:rsid w:val="00E11DFB"/>
    <w:rsid w:val="00E30F62"/>
    <w:rsid w:val="00E83E04"/>
    <w:rsid w:val="00E85CA7"/>
    <w:rsid w:val="00EA7395"/>
    <w:rsid w:val="00EB62FD"/>
    <w:rsid w:val="00ED31FD"/>
    <w:rsid w:val="00EE434C"/>
    <w:rsid w:val="00F174FC"/>
    <w:rsid w:val="00F509E7"/>
    <w:rsid w:val="00F568B2"/>
    <w:rsid w:val="00F56A6E"/>
    <w:rsid w:val="00F60071"/>
    <w:rsid w:val="00F77780"/>
    <w:rsid w:val="00F811E2"/>
    <w:rsid w:val="00F831A5"/>
    <w:rsid w:val="00FB156E"/>
    <w:rsid w:val="00FD1C64"/>
    <w:rsid w:val="00FD3944"/>
    <w:rsid w:val="00FE55A3"/>
    <w:rsid w:val="00FE7FC5"/>
    <w:rsid w:val="01D63EEA"/>
    <w:rsid w:val="063A7E4D"/>
    <w:rsid w:val="06A348A8"/>
    <w:rsid w:val="09185BB5"/>
    <w:rsid w:val="0A3A1C0B"/>
    <w:rsid w:val="0AA5284F"/>
    <w:rsid w:val="0F942C5B"/>
    <w:rsid w:val="115B146F"/>
    <w:rsid w:val="1BB236BF"/>
    <w:rsid w:val="1C0E4418"/>
    <w:rsid w:val="1C743414"/>
    <w:rsid w:val="1E6A647D"/>
    <w:rsid w:val="202717A0"/>
    <w:rsid w:val="206E03E2"/>
    <w:rsid w:val="29151598"/>
    <w:rsid w:val="2B425269"/>
    <w:rsid w:val="2C6579BC"/>
    <w:rsid w:val="2EBE38FC"/>
    <w:rsid w:val="31A61E7D"/>
    <w:rsid w:val="324375FF"/>
    <w:rsid w:val="366F04C6"/>
    <w:rsid w:val="38043919"/>
    <w:rsid w:val="3A9E6844"/>
    <w:rsid w:val="3EFF7DF3"/>
    <w:rsid w:val="401C3C12"/>
    <w:rsid w:val="43D9115A"/>
    <w:rsid w:val="48AD12B7"/>
    <w:rsid w:val="4C5D4863"/>
    <w:rsid w:val="54293324"/>
    <w:rsid w:val="547328DE"/>
    <w:rsid w:val="5593788B"/>
    <w:rsid w:val="55CC34E2"/>
    <w:rsid w:val="57F60E18"/>
    <w:rsid w:val="5ED73F67"/>
    <w:rsid w:val="60320930"/>
    <w:rsid w:val="68C836E1"/>
    <w:rsid w:val="6A4C48A7"/>
    <w:rsid w:val="6B4E7160"/>
    <w:rsid w:val="6C667638"/>
    <w:rsid w:val="6D526532"/>
    <w:rsid w:val="6DC50098"/>
    <w:rsid w:val="711318F9"/>
    <w:rsid w:val="779C0DA3"/>
    <w:rsid w:val="790A0572"/>
    <w:rsid w:val="7CCA52B4"/>
    <w:rsid w:val="7CD37CC5"/>
    <w:rsid w:val="7E211DF7"/>
    <w:rsid w:val="7EAB49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customStyle="1" w:styleId="10">
    <w:name w:val="Char1"/>
    <w:basedOn w:val="1"/>
    <w:qFormat/>
    <w:uiPriority w:val="0"/>
    <w:pPr>
      <w:tabs>
        <w:tab w:val="left" w:pos="720"/>
      </w:tabs>
      <w:ind w:left="720" w:hanging="720"/>
    </w:pPr>
    <w:rPr>
      <w:rFonts w:ascii="Times New Roman" w:hAnsi="Times New Roman" w:eastAsia="宋体" w:cs="Times New Roman"/>
      <w:sz w:val="24"/>
      <w:szCs w:val="24"/>
    </w:rPr>
  </w:style>
  <w:style w:type="character" w:customStyle="1" w:styleId="11">
    <w:name w:val="批注框文本 Char"/>
    <w:basedOn w:val="6"/>
    <w:link w:val="2"/>
    <w:semiHidden/>
    <w:qFormat/>
    <w:uiPriority w:val="99"/>
    <w:rPr>
      <w:sz w:val="18"/>
      <w:szCs w:val="18"/>
    </w:rPr>
  </w:style>
  <w:style w:type="paragraph" w:styleId="12">
    <w:name w:val="List Paragraph"/>
    <w:basedOn w:val="1"/>
    <w:qFormat/>
    <w:uiPriority w:val="99"/>
    <w:pPr>
      <w:spacing w:beforeLines="50" w:line="360" w:lineRule="auto"/>
      <w:ind w:firstLine="420" w:firstLineChars="200"/>
    </w:pPr>
    <w:rPr>
      <w:rFonts w:ascii="仿宋_GB2312" w:hAnsi="宋体" w:eastAsia="仿宋_GB2312" w:cs="Times New Roman"/>
      <w:color w:val="000000"/>
      <w:kern w:val="16"/>
      <w:sz w:val="3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1F1BF0-EA86-472D-9188-995D4B48B4D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103</Words>
  <Characters>589</Characters>
  <Lines>4</Lines>
  <Paragraphs>1</Paragraphs>
  <TotalTime>3</TotalTime>
  <ScaleCrop>false</ScaleCrop>
  <LinksUpToDate>false</LinksUpToDate>
  <CharactersWithSpaces>691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2018-08-02T01:30:00Z</dcterms:created>
  <dc:creator>hp</dc:creator>
  <cp:lastModifiedBy>Administrator</cp:lastModifiedBy>
  <cp:lastPrinted>2022-06-09T00:58:00Z</cp:lastPrinted>
  <dcterms:modified xsi:type="dcterms:W3CDTF">2025-04-11T07:06:48Z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