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清流县人民政府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年县本级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决算草案的报告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清流县人民政府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主任、各位副主任，各位委员：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托，现向县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届人大常委会第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二十一次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会议报告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年县本级财政决算情况，请予审议。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（一）一般公共预算收支决算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1.一般公共预算收支平衡情况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56481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/>
        </w:rPr>
        <w:t>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6222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%。其中,税收收入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34172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万元，完成年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94.09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22309万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年全县一般公共预算支出总计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251905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%。其中，县级一般公共预算支出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210571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56481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万元，返还性收入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2971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118293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万元，地方政府债券转贷收入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31591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万元，动用预算稳定调节基金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24427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251905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万元。全县一般公共预算支出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210571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万元，上解上级支出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万元，安排预算稳定调节基金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1591万元，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地方政府债券还本支出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24705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240636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万元，收支相抵，结转下年支出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2.重点支出情况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年全县一般公共预算支出中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13项民生相关支出合计181097万元，占一般公共预算支出210571万元的86%，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其中教育支出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42235万元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、科学技术支出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4184万元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24780万元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、卫生健康支出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16467万元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、节能环保支出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8041万元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、城乡社区支出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25859万元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、农林水支出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34431万元、交通运输支出9898万元、商业服务业等支出7932万元、自然资源海洋气象等支出4946万元、住房保障支出1718万元、粮油物资储备支出310万元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3.财力性转移支付情况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上级财政对我县一般公共预算转移支付补助132553万元，包括：①返还性收入2971万元，其中，增值税和消费税税收返还收入1193万元；所得税基数返还收入492万元；成品油税费改革税收返还收入286万元；增值税“五五分享”税收返还收入1000万元。②一般性转移支付收入118293万元，其中，均衡性转移支付收入20949万元，革命老区转移支付收入4590万元，县级基本财力保障机制奖补资金收入16253万元，结算补助收入3118万元，重点生态功能区转移支付收入4737万元，产粮（油）大县奖励资金收入217万元，固定数额补助收入92万元，其他一般性转移支付收入（含贫困地区转移支付、共同财政事权等）68337万元。③专项转移支付收入11289万元，其中，一般公共服务转移支付收入64万元，科学技术转移支付收入25万元，文化旅游体育与传媒转移支付收入80万元，社会保障和就业收入1038万元，卫生健康收入621万元，节能环保转移支付收入809万元，城乡社区转移支付收入1325万元，农林水转移支付收入2641万元，交通运输326万元，教育收入500万元，国防收入85万元，资源勘探信息转移支付收入386万元，商业服务业收入763万元，金融收入9万元，自然资源海洋气象等转移支付收入851万元，住房保障转移支付收入336万元，灾害防治及应急管理转移支付收入1430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2023年我县对乡镇转移支付补助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25737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万元，其中，一般公共服务支出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1192万元，社会保障和就业支出1481万元，卫生健康支出27万元，节能环保支出1558万元，城乡社区支出7840万元，农林水支出12394万元，交通运输支出110万元，商业服务业等支出140万元，自然资源海洋气象等支出485万元，灾害防治及应急管理支出4万元，其他支出110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gree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（二）政府性基金收支决算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1.政府性基金收支平衡情况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政府性基金收入2861万元，完成年初预算的4.24%，完成调整预算的82.28%，比上年减收30932万元，下降91.53%。2023年政府性基金支出总计55648万元，比上年减支63231万元，减少53.19%。其中：县级基金支出30717万元，比上年减支52125万元，减少62.92%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政府性基金收入2861万元，上年结余19358万元，债务转贷收入17200万元，基金专项转移支付收入7296万元，调入资金8933万元，收入总计55648万元；政府性基金支出30717万元，政府性基金预算上解上级支出100万元，调出资金3032万元，债务还本支出1200万元，支出总计35049万元，收支相抵，结转下年支出20599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2.财政转移支付情况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2023年上级财政对我县政府性基金转移支付补助7296万元，主要是社会保障和就业4060万元，城乡社区694万元，农林水326万元，其他收入2216万元。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（三）国有资本经营预算收支决算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2023年国有资本经营预算收入1026万元，完成年初预算的593.06%，完成调整预算的114.77%。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2023年国有资本经营预算支出0万元。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2023年国有资本经营预算实际收入124万元，国有资本经营预算上级补助收入8万元，股利、股息收入798万元，产权转让收入96万元，收入总计1026万元；国有资本经营预算调出资金1026万元，支出总计1026万元。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社会保险基金预算收支决算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1.城乡居民社会养老保险基金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2023年城乡居民基本养老保险基金预算收入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比上年增收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%。2023年城乡居民社会养老保险基金预算支出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105.03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%，比上年增支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%。2023年城乡居民社会养老保险基金预算收入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万元，上年结余收入1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万元；城乡居民社会养老保险基金预算支出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万元。收支相抵，滚存结余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14974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2.机关事业养老保险基金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2023年机关事业单位基本养老保险基金预算收入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万元,完成年初预算的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98.63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%，比上年增收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%。2023年机关事业养老保险基金预算支出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14821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%，比上年增支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%。2023年机关事业养老保险基金预算收入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18477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万元；机关事业养老保险基金预算支出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14821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万元；收支相抵，滚存结余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年县级政府性债务情况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1.债务基本情况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（1）政府性债务情况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省财政安排我县地方政府再融资债券资金23257万元和新增地方政府债券资金25534万元，当年实际还本付息共计38869万元。2023年末，全县政府性债务余额390530.79万元，其中：一般债务201230.79万元，专项债务189300万元。省财政厅核定我县2023年政府债务限额406794万元，其中：一般债务限额217494万元，专项债务限额189300万元，债务余额控制在省财政厅核定的限额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一般债项目资金使用情况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2023年新增地方政府一般债券资金9534万元，共涉及项目5个，截至2023年12月末，财政已拨付3738万元，总体支出进度为39%。具体情况如下：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①龙津学校建设项目3738万元，单位已支出3738万元，支出率100%，项目资金主要用于设备购置，项目已完工，并投入使用。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②清流县城市品质提升项目4976万元，支出为零。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③2021年G356线清流沙芜路面改造工程220万元，支出为零。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④融媒体中心建设项目400万元，支出为零。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⑤清流县灵地镇姚步线水毁修复项目200万元，支出为零。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专项债项目资金使用情况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2023年新增地方政府专项债券资金16000万元，涉及项目5个，截至2023年12月末，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财政已支付10800万元，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总体支出进度为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①清流县拔口田园文旅综合体项目1500万元，项目单位已支出1500万元，支出率100%。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清流县城区污水管网新建改造及污水处理厂提标改造项目1000万元，项目的单位已支出1000万元，支出率100%。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③泉南高速公路改扩建新增清流县桐坑互通及连接线工程4000万元，项目单位已支出2800万元，支出率70%。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④清流县红色文旅教育实践基地及附属设施建设项目6500万元，项目单位已支出4500万元，支出率69%。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⑤清流县全域旅游基础设施提升工程（一期）3000万元，财政已支出1000万元，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支出率33%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（2）隐性债务情况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2023年，我县未新增隐性债务，当年实际偿还3500万元，2023年末，我县隐性债务余额10053.5万元（浦梅铁路资本金9950万元；易地扶贫搬迁国开行专项基金103.5万元）。</w:t>
      </w:r>
    </w:p>
    <w:p>
      <w:pPr>
        <w:pStyle w:val="2"/>
        <w:numPr>
          <w:ilvl w:val="0"/>
          <w:numId w:val="0"/>
        </w:numPr>
        <w:ind w:leftChars="200" w:firstLine="321" w:firstLineChars="1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（3）增发国债情况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2023年，我县共争取增发国债项目7个，争取国债资金13673万元。</w:t>
      </w:r>
    </w:p>
    <w:p>
      <w:pPr>
        <w:pStyle w:val="2"/>
        <w:numPr>
          <w:ilvl w:val="0"/>
          <w:numId w:val="0"/>
        </w:numPr>
        <w:ind w:leftChars="200" w:firstLine="321" w:firstLineChars="100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2.存在问题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部分债券资金使用进度偏慢，截至2023年底，2023年新增一般债券中，分别有4个项目零支出，涉及金额5796万元。</w:t>
      </w:r>
    </w:p>
    <w:p>
      <w:pPr>
        <w:pStyle w:val="2"/>
        <w:numPr>
          <w:ilvl w:val="0"/>
          <w:numId w:val="0"/>
        </w:numPr>
        <w:ind w:leftChars="200" w:firstLine="321" w:firstLineChars="100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3.下一步措施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各相关部门落实好项目前期工作，确保“资金跟着项目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走”。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项目单位加快工程施工进度，各部门要紧盯项目施工中重点、难点，加强各单位、部门之间的沟通协调，确保项目在保质保量的前提下，力争超前完成。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项目单位及时梳理、递交项目资金支付审批相关材料，财政做好资金拨付工作，做到拨款有依据。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1.直达资金情况。2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023年，全县共收到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 w:bidi="ar"/>
        </w:rPr>
        <w:t>直达资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40651.05万元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已分配资金40639.44万元，分配进度100%，支出合计35414.04万元，支出进度87.1%。其中：中央直达资金33284.19万元，支出合计30637.82万元，支出进度92%。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2.“三公经费”情况。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2023年，全县“三公”经费支出676.91万元，较上年增长23.03%，其中：因公出国（境）费用0万元，与上年持平；公务用车购置及运行维护费398.82万元，较上年增长23.84%；公务接待费278.09万元，较上年增长21.9%。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3.“三保”执行情况。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2023年“三保”支出共计134359.19万元，其中：保工资61057.75万元，保运转7809.34万元，保民生65492.10万元。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二、落实县人大预算决议情况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，在县委、县政府的坚强领导下，在县人大及其常委会的监督指导下，县财政部门坚持以习近平新时代中国特色社会主义思想为指导，全面贯彻党的二十大精神和中央、省、市经济工作会议精神，坚持稳字当头、稳中求进总基调，扎实推进财政各项工作，防范化解地方政府债务风险，坚持过“紧日子”思想，统筹兼顾、实事求是，兜实兜牢“三保”底线，严格落实县人大有关决议要求和批准的预算，财政运行情况平稳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（一）全力以赴稳运行。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一是凝心聚力促增收。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对财政收支“紧平衡”的严峻挑战，切实扛起收入组织主体责任，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围绕年初目标任务，积极应对经济下行及减税降费政策等因素叠加影响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深挖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潜在税源，大力培植财源，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全力组织税收入库，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全年地方级一般公共预算收入实现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56481万元，较上年增长12.38%，增幅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位居全市前列。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二是全力以赴抓争取。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抢抓发展先机，把准政策机遇，及时掌握上级政策动向和资金投向，加大对接协调力度，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全年向上争取资金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亿元（其中专项债券资金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亿元，一般债资金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亿元），为全县经济发展提供财政保障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三是精准高效优环境。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持续优化营商环境，推动落实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减税降费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政策及兑现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各项惠企政策措施，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全年完成增值税留抵退税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万元、土地增值税清算退税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万元，“真金白银”兑现惠企支出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1607万元，激发企业发展新活力。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（二）真抓实干保民生。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一是兜牢兜实“三保”底线。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牢固树立过“紧日子”思想，不折不扣贯彻执行过“紧日子”要求，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持续压减一般性、非刚性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支出4807万元，削减和取消无用支出7124万元，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在库款持续紧张状态下，科学统筹重要节点库款调度工作，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集中有限财力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优先兜牢“三保”，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全年“三保”支出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134359.19万元。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二是民生保障再上新台阶。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始终坚持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民生保障“温度”和经济发展“速度”同频共振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民生投入只增不减，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全年民生相关支出合计181097万元，占一般公共预算支出210571万元的86%，</w:t>
      </w:r>
      <w:r>
        <w:rPr>
          <w:rFonts w:hint="eastAsia" w:ascii="仿宋_GB2312" w:eastAsia="仿宋_GB2312"/>
          <w:sz w:val="32"/>
          <w:szCs w:val="32"/>
          <w:lang w:eastAsia="zh-CN"/>
        </w:rPr>
        <w:t>为我县</w:t>
      </w:r>
      <w:r>
        <w:rPr>
          <w:rFonts w:hint="eastAsia" w:ascii="仿宋_GB2312" w:eastAsia="仿宋_GB2312"/>
          <w:sz w:val="32"/>
          <w:szCs w:val="32"/>
        </w:rPr>
        <w:t>保障和改善民生</w:t>
      </w:r>
      <w:r>
        <w:rPr>
          <w:rFonts w:hint="eastAsia" w:ascii="仿宋_GB2312" w:eastAsia="仿宋_GB2312"/>
          <w:sz w:val="32"/>
          <w:szCs w:val="32"/>
          <w:lang w:eastAsia="zh-CN"/>
        </w:rPr>
        <w:t>提供坚实的财力支撑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支持教育高质量发展。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突出教育投入重点，全年累计投入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亿元用于支持营养餐改善计划、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学科带头人及名师名校长经费、名师工作室、政府奖教基金等教育相关支出，确保教育经费投入“两个只增不减”。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提升医疗卫生服务能力。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全年投入卫生健康支出1.6亿元支持</w:t>
      </w:r>
      <w:r>
        <w:rPr>
          <w:rFonts w:hint="eastAsia" w:ascii="仿宋_GB2312" w:eastAsia="仿宋_GB2312"/>
          <w:sz w:val="32"/>
          <w:szCs w:val="32"/>
          <w:highlight w:val="none"/>
        </w:rPr>
        <w:t>县总医院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及乡镇卫生院</w:t>
      </w:r>
      <w:r>
        <w:rPr>
          <w:rFonts w:hint="eastAsia" w:ascii="仿宋_GB2312" w:eastAsia="仿宋_GB2312"/>
          <w:sz w:val="32"/>
          <w:szCs w:val="32"/>
          <w:highlight w:val="none"/>
        </w:rPr>
        <w:t>救治能力提升、落实县医院综合ICU床位改造建设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公众场所配置AED等省市县为民办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实</w:t>
      </w:r>
      <w:r>
        <w:rPr>
          <w:rFonts w:hint="eastAsia" w:ascii="仿宋_GB2312" w:eastAsia="仿宋_GB2312"/>
          <w:sz w:val="32"/>
          <w:szCs w:val="32"/>
          <w:highlight w:val="none"/>
        </w:rPr>
        <w:t>事项目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促进基本公共卫生服务均等化水平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推动社会保障落实落地。</w:t>
      </w:r>
      <w:r>
        <w:rPr>
          <w:rFonts w:hint="eastAsia" w:ascii="仿宋_GB2312" w:eastAsia="仿宋_GB2312"/>
          <w:sz w:val="32"/>
          <w:szCs w:val="32"/>
          <w:lang w:eastAsia="zh-CN"/>
        </w:rPr>
        <w:t>全年社保就业资金投入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2.4亿元，用于支付</w:t>
      </w:r>
      <w:r>
        <w:rPr>
          <w:rFonts w:hint="eastAsia" w:ascii="仿宋_GB2312" w:eastAsia="仿宋_GB2312"/>
          <w:color w:val="auto"/>
          <w:sz w:val="32"/>
          <w:szCs w:val="32"/>
        </w:rPr>
        <w:t>机关养老保险基金、城乡居民养老保险基金、企业养老保险基金、被征地农民养老保险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、低保特困资金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、发放临时价格补贴等，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持续增进我县民生福祉。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扎实推进乡村振兴战略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全年投入农林水支出3.4亿元，从特色现代农业建设发展、农村基础设施提升、美丽乡村建设、农村文化提升、农村基层组织建设等全方位支持我县乡村振兴战略实施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推动巩固脱贫攻坚成果同乡村振兴有效衔接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提质增效强监管。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一是全面推进预算绩效管理。</w:t>
      </w:r>
      <w:r>
        <w:rPr>
          <w:rFonts w:hint="eastAsia" w:ascii="仿宋_GB2312" w:hAnsi="仿宋_GB2312" w:eastAsia="仿宋_GB2312" w:cs="仿宋_GB2312"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利用预算管理一体化建设契机，将绩效评价与预算编制、预算执行相结合，强化绩效结果应用，全面提升预算管理水平，硬化预算刚性约束，切实提升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提升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财政资源配置效益和使用效益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二是严肃财经纪律。</w:t>
      </w:r>
      <w:r>
        <w:rPr>
          <w:rFonts w:hint="eastAsia" w:ascii="仿宋_GB2312" w:hAnsi="仿宋_GB2312" w:eastAsia="仿宋_GB2312" w:cs="仿宋_GB2312"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强化行政事业单位内控建设，依法合规举债融资，坚决遏制隐性债务增量，稳妥处置和化解隐性债务存量，保证政府信用，确保不发生风险事件。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三是加大财会监督力度。</w:t>
      </w:r>
      <w:r>
        <w:rPr>
          <w:rFonts w:hint="eastAsia" w:ascii="仿宋_GB2312" w:hAnsi="仿宋_GB2312" w:eastAsia="仿宋_GB2312" w:cs="仿宋_GB2312"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加强财会监督与其他监督的贯通协调，把巡视巡察、审计整改与加强财政预算管理相结合，严格落实责任，</w:t>
      </w:r>
      <w:r>
        <w:rPr>
          <w:rFonts w:hint="eastAsia" w:ascii="仿宋_GB2312" w:hAnsi="仿宋_GB2312" w:eastAsia="仿宋_GB2312" w:cs="仿宋_GB2312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从严从紧抓好专项资金使用提效工作，切实规范资金使用低效、无效行为</w:t>
      </w:r>
      <w:r>
        <w:rPr>
          <w:rFonts w:hint="eastAsia" w:ascii="仿宋_GB2312" w:hAnsi="仿宋_GB2312" w:eastAsia="仿宋_GB2312" w:cs="仿宋_GB2312"/>
          <w:color w:val="auto"/>
          <w:spacing w:val="1"/>
          <w:kern w:val="2"/>
          <w:sz w:val="32"/>
          <w:szCs w:val="32"/>
          <w:highlight w:val="none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完善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财政资金监督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评审机制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坚持“一季一自查、半年一督查”，财政、审计、发改等部门联合，先后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次到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13个重点单位和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乡镇开展财政专项资金监督检查，对发现的问题督促相关部门、乡镇及时整改到位，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切实从源头上堵塞管理漏洞，财政资金使用风险得到有效防范；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坚持“不唯减、不唯增、只唯实”的执业理念，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财政投资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工程预算造价评审项目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70个，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送审金额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4.42亿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元，审定金额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4.02亿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元，核减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3952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万元，核减率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8.94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工程造价结算审核项目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48个，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送审金额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2.17亿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元，审定金额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元，核减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1040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万元，核减率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4.80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有效促进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财政资金使用发挥应有效益。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年财政决算有关说明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入、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决算数较调整预算数变动情况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1.县级一般公共预算收入变动情况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2" w:rightChars="20" w:hanging="4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2023年县级一般公共预算收入56481万元，较调整预算数56058万元增加423万元，主要是年末税收收入及清缴入库非税收入增加。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2.一般公共预算支出变动情况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一般公共预算支出210571万元，较调整预算数221553万元减支10982万元，主要是当年结合部门实际支出及全县财力情况，对部分支出进行压减及调整，具体为：①增加一般公共预算支出31472万元，其中：国防支出208万元，科学技术支出194万元，社会保障和就业支出5921万元，卫生健康支出258万元，城乡社区支出12990万元，农林水支出1925万元，商业服务业等支出7736万元，自然资源海洋气象等支出13万元，住房保障支出1673万元，粮油物资储备支出106万元，债务付息支出244万元，其他支出204万元。②减少一般公共预算支出42454万元，其中：一般公共服务支出6716万元，公共安全支出3661万元，教育支出9598万元，文化旅游体育与传媒支出2788万元，节能环保支出5396万元，交通运输支出6869万元，资源勘探工业信息等支出7080万元，金融支出15万元，灾害防治及应急管理支出291万元，债务发行费用支出40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）关于乡镇级收支决算情况的说明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现行县对乡镇财政管理体制，县级一般公共预算收入即为县本级一般公共预算收入，乡镇级收入为县级对下转移支付补助和乡镇自有资金收入，为保持县级财政总决算报表口径与以前年度一致，2023年乡镇财政支出包括在县本级财政支出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）预备费安排情况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因支出项目调减，2023年年初预算安排的预备费1630万元均未支出。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（四）预算稳定调节基金增减使用情况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为保持预算的稳定性及财政政策的连续性，自2013年起，我县将结余财力转入预算稳定调节基金用于调节预算平衡。20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因财力不足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度安排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预算稳定调节基金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1591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动用上年稳定调节基金339万元。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8" w:firstLineChars="18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（五）县级一般公共预算调入资金情况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财政部《地方预算支出进度考核办法》中“每一项政府性基金结转资金规模一般不超过该项基金当年收入的30%”要求，2023年从政府性基金收入中调入3032万元，国有资本经营预算调入1026万元，从其他资金调入29302万元（其中：上年土地增减挂钩结余321万，土地增减挂钩指标12000万，基本农田异地代保资金6449万，集美帮扶资金2500万，部门存量资金8032万），2023年县级一般公共预算调入资金共计33360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以上报告不妥之处，请批评指正。</w:t>
      </w:r>
    </w:p>
    <w:sectPr>
      <w:footerReference r:id="rId3" w:type="default"/>
      <w:footerReference r:id="rId4" w:type="even"/>
      <w:pgSz w:w="11907" w:h="16897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12</w: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mJjOTY0MzM1YTEwZDE4ZDcxMTY2ZTIzYzkwN2YifQ=="/>
  </w:docVars>
  <w:rsids>
    <w:rsidRoot w:val="00172A27"/>
    <w:rsid w:val="00590E3E"/>
    <w:rsid w:val="006240E5"/>
    <w:rsid w:val="008C5E48"/>
    <w:rsid w:val="00D16A9A"/>
    <w:rsid w:val="00E922D0"/>
    <w:rsid w:val="01CB4377"/>
    <w:rsid w:val="01CE675F"/>
    <w:rsid w:val="02002C00"/>
    <w:rsid w:val="021966EF"/>
    <w:rsid w:val="02523C04"/>
    <w:rsid w:val="03696D4E"/>
    <w:rsid w:val="038256C9"/>
    <w:rsid w:val="03AF0987"/>
    <w:rsid w:val="03D21632"/>
    <w:rsid w:val="03EC3FDC"/>
    <w:rsid w:val="040F13B9"/>
    <w:rsid w:val="042518C8"/>
    <w:rsid w:val="05ED1F62"/>
    <w:rsid w:val="06D90D64"/>
    <w:rsid w:val="07240AF1"/>
    <w:rsid w:val="0788103D"/>
    <w:rsid w:val="07B92B0E"/>
    <w:rsid w:val="08DB7E64"/>
    <w:rsid w:val="09531457"/>
    <w:rsid w:val="095614C2"/>
    <w:rsid w:val="09FE623B"/>
    <w:rsid w:val="0A127F20"/>
    <w:rsid w:val="0AD91E90"/>
    <w:rsid w:val="0B133F04"/>
    <w:rsid w:val="0B71213D"/>
    <w:rsid w:val="0B794459"/>
    <w:rsid w:val="0B8945E7"/>
    <w:rsid w:val="0B8B065E"/>
    <w:rsid w:val="0C85085A"/>
    <w:rsid w:val="0C9C6A4D"/>
    <w:rsid w:val="0CF13151"/>
    <w:rsid w:val="0D1B685E"/>
    <w:rsid w:val="0D2F44B2"/>
    <w:rsid w:val="0D851FF4"/>
    <w:rsid w:val="0D933D59"/>
    <w:rsid w:val="0DFC2361"/>
    <w:rsid w:val="0DFE63FD"/>
    <w:rsid w:val="0E0F77B1"/>
    <w:rsid w:val="0EB67D3E"/>
    <w:rsid w:val="10023206"/>
    <w:rsid w:val="109B171D"/>
    <w:rsid w:val="115B66F8"/>
    <w:rsid w:val="119A2FEE"/>
    <w:rsid w:val="121511E1"/>
    <w:rsid w:val="129A71C7"/>
    <w:rsid w:val="12B12FFD"/>
    <w:rsid w:val="12E15D2A"/>
    <w:rsid w:val="131C34C8"/>
    <w:rsid w:val="138C54D3"/>
    <w:rsid w:val="14913DA8"/>
    <w:rsid w:val="151A4DEB"/>
    <w:rsid w:val="15636BBB"/>
    <w:rsid w:val="15AD003E"/>
    <w:rsid w:val="15CA5818"/>
    <w:rsid w:val="15DE2386"/>
    <w:rsid w:val="16001A5D"/>
    <w:rsid w:val="161F507B"/>
    <w:rsid w:val="169A0490"/>
    <w:rsid w:val="169C4E1A"/>
    <w:rsid w:val="16DC7391"/>
    <w:rsid w:val="1715501D"/>
    <w:rsid w:val="177D4ECA"/>
    <w:rsid w:val="182547B4"/>
    <w:rsid w:val="19346AC2"/>
    <w:rsid w:val="195357A3"/>
    <w:rsid w:val="196573A5"/>
    <w:rsid w:val="19772D68"/>
    <w:rsid w:val="19A45B75"/>
    <w:rsid w:val="19F028BD"/>
    <w:rsid w:val="1A161262"/>
    <w:rsid w:val="1ADE0312"/>
    <w:rsid w:val="1ADE06DF"/>
    <w:rsid w:val="1B984910"/>
    <w:rsid w:val="1CEB7E6D"/>
    <w:rsid w:val="1D9C2F04"/>
    <w:rsid w:val="1DB56A7F"/>
    <w:rsid w:val="1DF952B2"/>
    <w:rsid w:val="1E3F788F"/>
    <w:rsid w:val="1ED8421D"/>
    <w:rsid w:val="1F4E72E1"/>
    <w:rsid w:val="1F560229"/>
    <w:rsid w:val="1FC40DDF"/>
    <w:rsid w:val="200442E8"/>
    <w:rsid w:val="21102114"/>
    <w:rsid w:val="21305FEC"/>
    <w:rsid w:val="21322BC5"/>
    <w:rsid w:val="21407925"/>
    <w:rsid w:val="214E249F"/>
    <w:rsid w:val="215D21E8"/>
    <w:rsid w:val="223E3A4F"/>
    <w:rsid w:val="22681E53"/>
    <w:rsid w:val="22AD276C"/>
    <w:rsid w:val="22D5703E"/>
    <w:rsid w:val="239A7798"/>
    <w:rsid w:val="23A84D26"/>
    <w:rsid w:val="23A943FF"/>
    <w:rsid w:val="243E4D96"/>
    <w:rsid w:val="245F53B4"/>
    <w:rsid w:val="24843D76"/>
    <w:rsid w:val="248B4FDC"/>
    <w:rsid w:val="24BE4F9C"/>
    <w:rsid w:val="24CB1822"/>
    <w:rsid w:val="24D95287"/>
    <w:rsid w:val="24EB0867"/>
    <w:rsid w:val="261F08F8"/>
    <w:rsid w:val="26746133"/>
    <w:rsid w:val="271A31BE"/>
    <w:rsid w:val="27A26F7A"/>
    <w:rsid w:val="27EA2F65"/>
    <w:rsid w:val="28393A5A"/>
    <w:rsid w:val="293D799E"/>
    <w:rsid w:val="29BE79F2"/>
    <w:rsid w:val="2A5B0591"/>
    <w:rsid w:val="2A773956"/>
    <w:rsid w:val="2A8847A0"/>
    <w:rsid w:val="2AE70A3E"/>
    <w:rsid w:val="2B540ABB"/>
    <w:rsid w:val="2B8B65A8"/>
    <w:rsid w:val="2BB621FE"/>
    <w:rsid w:val="2CA82382"/>
    <w:rsid w:val="2CAA1316"/>
    <w:rsid w:val="2CED2520"/>
    <w:rsid w:val="2D3F6865"/>
    <w:rsid w:val="2EC8633B"/>
    <w:rsid w:val="2EEC66BD"/>
    <w:rsid w:val="2F0B6EEA"/>
    <w:rsid w:val="2FF67CA8"/>
    <w:rsid w:val="30387F7B"/>
    <w:rsid w:val="306E71C1"/>
    <w:rsid w:val="31371697"/>
    <w:rsid w:val="314A45AB"/>
    <w:rsid w:val="317F5BF7"/>
    <w:rsid w:val="32D169E1"/>
    <w:rsid w:val="32EF773A"/>
    <w:rsid w:val="3329720A"/>
    <w:rsid w:val="337815CB"/>
    <w:rsid w:val="344A6B03"/>
    <w:rsid w:val="34654FA3"/>
    <w:rsid w:val="34B73DE1"/>
    <w:rsid w:val="34DC2295"/>
    <w:rsid w:val="35343B6D"/>
    <w:rsid w:val="3594692A"/>
    <w:rsid w:val="361E1AD0"/>
    <w:rsid w:val="362E10B9"/>
    <w:rsid w:val="363C3CB8"/>
    <w:rsid w:val="36A87F77"/>
    <w:rsid w:val="36E616E6"/>
    <w:rsid w:val="370537F3"/>
    <w:rsid w:val="37541CA3"/>
    <w:rsid w:val="385E4AFA"/>
    <w:rsid w:val="387D0F0F"/>
    <w:rsid w:val="38E51FDE"/>
    <w:rsid w:val="3ADD058A"/>
    <w:rsid w:val="3B214B37"/>
    <w:rsid w:val="3C4B5EAF"/>
    <w:rsid w:val="3D24785D"/>
    <w:rsid w:val="3D624A2B"/>
    <w:rsid w:val="3E241609"/>
    <w:rsid w:val="3EC87085"/>
    <w:rsid w:val="3FB17795"/>
    <w:rsid w:val="409C322F"/>
    <w:rsid w:val="41952E81"/>
    <w:rsid w:val="42590799"/>
    <w:rsid w:val="430E0515"/>
    <w:rsid w:val="433D0008"/>
    <w:rsid w:val="436F4BFF"/>
    <w:rsid w:val="43BB5868"/>
    <w:rsid w:val="44742576"/>
    <w:rsid w:val="44CD6059"/>
    <w:rsid w:val="459655A0"/>
    <w:rsid w:val="46341A3D"/>
    <w:rsid w:val="46DA5F67"/>
    <w:rsid w:val="478959A9"/>
    <w:rsid w:val="47AD2ABA"/>
    <w:rsid w:val="47BC04BE"/>
    <w:rsid w:val="48B01B27"/>
    <w:rsid w:val="4A9C5035"/>
    <w:rsid w:val="4B000703"/>
    <w:rsid w:val="4BCD3F58"/>
    <w:rsid w:val="4D361E2D"/>
    <w:rsid w:val="4D4D2805"/>
    <w:rsid w:val="4D9649B8"/>
    <w:rsid w:val="4DA4585D"/>
    <w:rsid w:val="4DC67B11"/>
    <w:rsid w:val="4DF5138A"/>
    <w:rsid w:val="4EDD74E8"/>
    <w:rsid w:val="4EE9065B"/>
    <w:rsid w:val="4F263681"/>
    <w:rsid w:val="4F3F7BC2"/>
    <w:rsid w:val="4F764F88"/>
    <w:rsid w:val="4FAC0218"/>
    <w:rsid w:val="4FD62822"/>
    <w:rsid w:val="4FD82563"/>
    <w:rsid w:val="503F4226"/>
    <w:rsid w:val="507F5787"/>
    <w:rsid w:val="52642199"/>
    <w:rsid w:val="53656221"/>
    <w:rsid w:val="53732AFC"/>
    <w:rsid w:val="5378557B"/>
    <w:rsid w:val="53C130D2"/>
    <w:rsid w:val="53C6708F"/>
    <w:rsid w:val="547E2C8C"/>
    <w:rsid w:val="55782294"/>
    <w:rsid w:val="55B05A5F"/>
    <w:rsid w:val="55C97957"/>
    <w:rsid w:val="562D31AC"/>
    <w:rsid w:val="57242B1A"/>
    <w:rsid w:val="57566CAF"/>
    <w:rsid w:val="57860CD1"/>
    <w:rsid w:val="58F03419"/>
    <w:rsid w:val="59330B99"/>
    <w:rsid w:val="59F06957"/>
    <w:rsid w:val="5B634214"/>
    <w:rsid w:val="5BD941B0"/>
    <w:rsid w:val="5CF95464"/>
    <w:rsid w:val="5D421B4A"/>
    <w:rsid w:val="5DC71C8F"/>
    <w:rsid w:val="5E426F11"/>
    <w:rsid w:val="5ECD170B"/>
    <w:rsid w:val="5F043C93"/>
    <w:rsid w:val="5F071D4D"/>
    <w:rsid w:val="5F0C5643"/>
    <w:rsid w:val="5F176D89"/>
    <w:rsid w:val="5F400B28"/>
    <w:rsid w:val="5FA26D37"/>
    <w:rsid w:val="603C2C01"/>
    <w:rsid w:val="60E94F4B"/>
    <w:rsid w:val="60F11535"/>
    <w:rsid w:val="6138509F"/>
    <w:rsid w:val="616A48A8"/>
    <w:rsid w:val="62162AB4"/>
    <w:rsid w:val="62AA12CF"/>
    <w:rsid w:val="62CC780E"/>
    <w:rsid w:val="62CD073C"/>
    <w:rsid w:val="639846CD"/>
    <w:rsid w:val="63BF2E3F"/>
    <w:rsid w:val="64D476F4"/>
    <w:rsid w:val="653E4F1A"/>
    <w:rsid w:val="656930F6"/>
    <w:rsid w:val="66323738"/>
    <w:rsid w:val="66637D95"/>
    <w:rsid w:val="6694621C"/>
    <w:rsid w:val="6715489C"/>
    <w:rsid w:val="67544B35"/>
    <w:rsid w:val="67C84023"/>
    <w:rsid w:val="67E2748D"/>
    <w:rsid w:val="67FE29B7"/>
    <w:rsid w:val="680C0FBC"/>
    <w:rsid w:val="685B754E"/>
    <w:rsid w:val="69DA2BC7"/>
    <w:rsid w:val="6BA40C82"/>
    <w:rsid w:val="6BE10C4C"/>
    <w:rsid w:val="6C0C1449"/>
    <w:rsid w:val="6C424FB7"/>
    <w:rsid w:val="6C6E1A8E"/>
    <w:rsid w:val="6CA518DB"/>
    <w:rsid w:val="6CCA360F"/>
    <w:rsid w:val="6DDC32E8"/>
    <w:rsid w:val="6E67390F"/>
    <w:rsid w:val="6E775CD9"/>
    <w:rsid w:val="6EF56049"/>
    <w:rsid w:val="6EFA0D93"/>
    <w:rsid w:val="6F394D3C"/>
    <w:rsid w:val="6F5C2A77"/>
    <w:rsid w:val="6F6F3EC3"/>
    <w:rsid w:val="6FAF281A"/>
    <w:rsid w:val="70530ADD"/>
    <w:rsid w:val="70E873BD"/>
    <w:rsid w:val="71705E05"/>
    <w:rsid w:val="725407EF"/>
    <w:rsid w:val="726008B6"/>
    <w:rsid w:val="730F3F17"/>
    <w:rsid w:val="74BF25C0"/>
    <w:rsid w:val="74C948F5"/>
    <w:rsid w:val="75104F53"/>
    <w:rsid w:val="75277462"/>
    <w:rsid w:val="76C24BE8"/>
    <w:rsid w:val="78752E98"/>
    <w:rsid w:val="787E2E34"/>
    <w:rsid w:val="78C96EC6"/>
    <w:rsid w:val="78F827DB"/>
    <w:rsid w:val="79815591"/>
    <w:rsid w:val="79BB4DCD"/>
    <w:rsid w:val="7A5D7FA9"/>
    <w:rsid w:val="7B2E1E49"/>
    <w:rsid w:val="7B70083A"/>
    <w:rsid w:val="7B8910E7"/>
    <w:rsid w:val="7C9431C9"/>
    <w:rsid w:val="7D1A4FED"/>
    <w:rsid w:val="7DDD1466"/>
    <w:rsid w:val="7E075C43"/>
    <w:rsid w:val="7E7E05B8"/>
    <w:rsid w:val="7EA648F0"/>
    <w:rsid w:val="7F4B3F57"/>
    <w:rsid w:val="7F7C6DC4"/>
    <w:rsid w:val="7FB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  <w:rPr>
      <w:rFonts w:ascii="宋体" w:hAnsi="宋体"/>
      <w:sz w:val="28"/>
      <w:szCs w:val="28"/>
    </w:rPr>
  </w:style>
  <w:style w:type="paragraph" w:styleId="3">
    <w:name w:val="Body Text Indent"/>
    <w:basedOn w:val="1"/>
    <w:next w:val="1"/>
    <w:qFormat/>
    <w:uiPriority w:val="99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customStyle="1" w:styleId="12">
    <w:name w:val="_Style 5"/>
    <w:basedOn w:val="1"/>
    <w:link w:val="11"/>
    <w:qFormat/>
    <w:uiPriority w:val="0"/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6076</Words>
  <Characters>7283</Characters>
  <Lines>0</Lines>
  <Paragraphs>0</Paragraphs>
  <TotalTime>1</TotalTime>
  <ScaleCrop>false</ScaleCrop>
  <LinksUpToDate>false</LinksUpToDate>
  <CharactersWithSpaces>7308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2020-07-13T03:14:00Z</dcterms:created>
  <dc:creator>czj002</dc:creator>
  <cp:lastModifiedBy>czj002</cp:lastModifiedBy>
  <cp:lastPrinted>2024-08-21T02:43:17Z</cp:lastPrinted>
  <dcterms:modified xsi:type="dcterms:W3CDTF">2024-08-21T02:44:32Z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1386D6FC63984665BBCAD8518C14C926_13</vt:lpwstr>
  </property>
</Properties>
</file>