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rPr>
          <w:rFonts w:hint="eastAsia" w:eastAsia="黑体"/>
          <w:sz w:val="80"/>
        </w:rPr>
      </w:pPr>
    </w:p>
    <w:p>
      <w:pPr>
        <w:spacing w:line="880" w:lineRule="exact"/>
        <w:rPr>
          <w:rFonts w:hint="eastAsia" w:eastAsia="黑体"/>
          <w:sz w:val="80"/>
        </w:rPr>
      </w:pPr>
      <w:r>
        <w:rPr>
          <w:rFonts w:hint="eastAsia" w:eastAsia="黑体"/>
          <w:sz w:val="80"/>
        </w:rPr>
        <w:t>清</w:t>
      </w:r>
      <w:r>
        <w:rPr>
          <w:rFonts w:eastAsia="黑体"/>
          <w:sz w:val="80"/>
        </w:rPr>
        <w:t xml:space="preserve"> </w:t>
      </w:r>
      <w:r>
        <w:rPr>
          <w:rFonts w:hint="eastAsia" w:eastAsia="黑体"/>
          <w:sz w:val="80"/>
        </w:rPr>
        <w:t>流</w:t>
      </w:r>
      <w:r>
        <w:rPr>
          <w:rFonts w:eastAsia="黑体"/>
          <w:sz w:val="80"/>
        </w:rPr>
        <w:t xml:space="preserve"> </w:t>
      </w:r>
      <w:r>
        <w:rPr>
          <w:rFonts w:hint="eastAsia" w:eastAsia="黑体"/>
          <w:sz w:val="80"/>
        </w:rPr>
        <w:t>县</w:t>
      </w:r>
      <w:r>
        <w:rPr>
          <w:rFonts w:eastAsia="黑体"/>
          <w:sz w:val="80"/>
        </w:rPr>
        <w:t xml:space="preserve"> </w:t>
      </w:r>
      <w:r>
        <w:rPr>
          <w:rFonts w:hint="eastAsia" w:eastAsia="黑体"/>
          <w:sz w:val="80"/>
        </w:rPr>
        <w:t>民</w:t>
      </w:r>
      <w:r>
        <w:rPr>
          <w:rFonts w:eastAsia="黑体"/>
          <w:sz w:val="80"/>
        </w:rPr>
        <w:t xml:space="preserve"> </w:t>
      </w:r>
      <w:r>
        <w:rPr>
          <w:rFonts w:hint="eastAsia" w:eastAsia="黑体"/>
          <w:sz w:val="80"/>
        </w:rPr>
        <w:t>政</w:t>
      </w:r>
      <w:r>
        <w:rPr>
          <w:rFonts w:eastAsia="黑体"/>
          <w:sz w:val="80"/>
        </w:rPr>
        <w:t xml:space="preserve"> </w:t>
      </w:r>
      <w:r>
        <w:rPr>
          <w:rFonts w:hint="eastAsia" w:eastAsia="黑体"/>
          <w:sz w:val="80"/>
        </w:rPr>
        <w:t>局</w:t>
      </w:r>
    </w:p>
    <w:p>
      <w:pPr>
        <w:spacing w:line="880" w:lineRule="exact"/>
        <w:rPr>
          <w:rFonts w:hint="eastAsia" w:eastAsia="黑体"/>
          <w:sz w:val="80"/>
        </w:rPr>
      </w:pPr>
      <w:r>
        <w:rPr>
          <w:rFonts w:hint="eastAsia" w:eastAsia="黑体"/>
          <w:sz w:val="86"/>
        </w:rPr>
        <w:t xml:space="preserve">    </w:t>
      </w:r>
      <w:r>
        <w:rPr>
          <w:rFonts w:eastAsia="黑体"/>
          <w:sz w:val="86"/>
        </w:rPr>
        <w:t xml:space="preserve">   </w:t>
      </w:r>
      <w:r>
        <w:rPr>
          <w:rFonts w:hint="eastAsia" w:eastAsia="黑体"/>
          <w:sz w:val="86"/>
        </w:rPr>
        <w:t xml:space="preserve"> </w:t>
      </w:r>
      <w:r>
        <w:rPr>
          <w:rFonts w:eastAsia="黑体"/>
          <w:sz w:val="86"/>
        </w:rPr>
        <w:t xml:space="preserve"> </w:t>
      </w:r>
      <w:r>
        <w:rPr>
          <w:rFonts w:hint="eastAsia" w:eastAsia="黑体"/>
          <w:sz w:val="86"/>
        </w:rPr>
        <w:t xml:space="preserve">      </w:t>
      </w:r>
      <w:r>
        <w:rPr>
          <w:rFonts w:hint="eastAsia" w:eastAsia="黑体"/>
          <w:sz w:val="80"/>
          <w:szCs w:val="80"/>
          <w:lang w:eastAsia="zh-CN"/>
        </w:rPr>
        <w:t>文</w:t>
      </w:r>
      <w:r>
        <w:rPr>
          <w:rFonts w:hint="eastAsia" w:eastAsia="黑体"/>
          <w:sz w:val="80"/>
        </w:rPr>
        <w:t>件</w:t>
      </w:r>
    </w:p>
    <w:p>
      <w:pPr>
        <w:spacing w:line="880" w:lineRule="exact"/>
        <w:rPr>
          <w:rFonts w:hint="eastAsia" w:eastAsia="黑体"/>
          <w:sz w:val="80"/>
        </w:rPr>
      </w:pPr>
      <w:r>
        <w:rPr>
          <w:rFonts w:hint="eastAsia" w:eastAsia="黑体"/>
          <w:sz w:val="80"/>
        </w:rPr>
        <w:t>清</w:t>
      </w:r>
      <w:r>
        <w:rPr>
          <w:rFonts w:eastAsia="黑体"/>
          <w:sz w:val="80"/>
        </w:rPr>
        <w:t xml:space="preserve"> </w:t>
      </w:r>
      <w:r>
        <w:rPr>
          <w:rFonts w:hint="eastAsia" w:eastAsia="黑体"/>
          <w:sz w:val="80"/>
        </w:rPr>
        <w:t>流</w:t>
      </w:r>
      <w:r>
        <w:rPr>
          <w:rFonts w:eastAsia="黑体"/>
          <w:sz w:val="80"/>
        </w:rPr>
        <w:t xml:space="preserve"> </w:t>
      </w:r>
      <w:r>
        <w:rPr>
          <w:rFonts w:hint="eastAsia" w:eastAsia="黑体"/>
          <w:sz w:val="80"/>
        </w:rPr>
        <w:t>县</w:t>
      </w:r>
      <w:r>
        <w:rPr>
          <w:rFonts w:eastAsia="黑体"/>
          <w:sz w:val="80"/>
        </w:rPr>
        <w:t xml:space="preserve"> </w:t>
      </w:r>
      <w:r>
        <w:rPr>
          <w:rFonts w:hint="eastAsia" w:eastAsia="黑体"/>
          <w:sz w:val="80"/>
        </w:rPr>
        <w:t>财</w:t>
      </w:r>
      <w:r>
        <w:rPr>
          <w:rFonts w:eastAsia="黑体"/>
          <w:sz w:val="80"/>
        </w:rPr>
        <w:t xml:space="preserve"> </w:t>
      </w:r>
      <w:r>
        <w:rPr>
          <w:rFonts w:hint="eastAsia" w:eastAsia="黑体"/>
          <w:sz w:val="80"/>
        </w:rPr>
        <w:t>政</w:t>
      </w:r>
      <w:r>
        <w:rPr>
          <w:rFonts w:eastAsia="黑体"/>
          <w:sz w:val="80"/>
        </w:rPr>
        <w:t xml:space="preserve"> </w:t>
      </w:r>
      <w:r>
        <w:rPr>
          <w:rFonts w:hint="eastAsia" w:eastAsia="黑体"/>
          <w:sz w:val="80"/>
        </w:rPr>
        <w:t>局</w:t>
      </w:r>
    </w:p>
    <w:p>
      <w:pPr>
        <w:pBdr>
          <w:bottom w:val="single" w:color="auto" w:sz="6" w:space="1"/>
        </w:pBdr>
        <w:spacing w:line="480" w:lineRule="exact"/>
        <w:rPr>
          <w:rFonts w:hint="eastAsia" w:eastAsia="仿宋_GB2312"/>
          <w:sz w:val="32"/>
        </w:rPr>
      </w:pPr>
    </w:p>
    <w:p>
      <w:pPr>
        <w:pBdr>
          <w:bottom w:val="single" w:color="auto" w:sz="6" w:space="1"/>
        </w:pBdr>
        <w:spacing w:line="48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清政民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eastAsia="仿宋_GB2312"/>
          <w:sz w:val="32"/>
        </w:rPr>
        <w:t>号</w:t>
      </w:r>
    </w:p>
    <w:p>
      <w:pPr>
        <w:spacing w:line="440" w:lineRule="exact"/>
        <w:jc w:val="center"/>
        <w:rPr>
          <w:rFonts w:hint="eastAsia" w:ascii="仿宋_GB2312" w:eastAsia="仿宋_GB2312"/>
          <w:b/>
          <w:sz w:val="32"/>
          <w:szCs w:val="36"/>
        </w:rPr>
      </w:pPr>
    </w:p>
    <w:p>
      <w:pPr>
        <w:spacing w:line="440" w:lineRule="exact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关于</w:t>
      </w:r>
      <w:r>
        <w:rPr>
          <w:rFonts w:hint="eastAsia" w:ascii="宋体" w:hAnsi="宋体"/>
          <w:b/>
          <w:sz w:val="44"/>
          <w:szCs w:val="44"/>
          <w:lang w:eastAsia="zh-CN"/>
        </w:rPr>
        <w:t>申请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2021年度清流县养老机构床位运营省级专项补助资金的请示</w:t>
      </w:r>
    </w:p>
    <w:p>
      <w:pPr>
        <w:spacing w:line="4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三明市民政局、财政局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44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福建省民政厅、福建省财政厅</w:t>
      </w:r>
      <w:r>
        <w:rPr>
          <w:rFonts w:hint="eastAsia" w:ascii="仿宋_GB2312" w:eastAsia="仿宋_GB2312"/>
          <w:sz w:val="32"/>
          <w:szCs w:val="32"/>
        </w:rPr>
        <w:t>关于印发养老服务专项业务管理办法的通知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闽民养老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szCs w:val="32"/>
        </w:rPr>
        <w:t>87号</w:t>
      </w:r>
      <w:r>
        <w:rPr>
          <w:rFonts w:hint="eastAsia" w:ascii="仿宋_GB2312" w:eastAsia="仿宋_GB2312"/>
          <w:sz w:val="32"/>
          <w:szCs w:val="32"/>
          <w:lang w:eastAsia="zh-CN"/>
        </w:rPr>
        <w:t>）文件要求</w:t>
      </w:r>
      <w:r>
        <w:rPr>
          <w:rFonts w:hint="eastAsia" w:ascii="仿宋_GB2312" w:eastAsia="仿宋_GB2312"/>
          <w:sz w:val="32"/>
          <w:szCs w:val="32"/>
        </w:rPr>
        <w:t>，经</w:t>
      </w:r>
      <w:r>
        <w:rPr>
          <w:rFonts w:hint="eastAsia" w:ascii="仿宋_GB2312" w:eastAsia="仿宋_GB2312"/>
          <w:sz w:val="32"/>
          <w:szCs w:val="32"/>
          <w:lang w:eastAsia="zh-CN"/>
        </w:rPr>
        <w:t>核实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我县符合申请条件的养老机构有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4家，核定床位共计480张，年平均入住非护理型老年人共65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人，护理型老年人共127人，共申请2021年度床位运营省级补贴21.74万元（其中非护理型床位补贴6.5万元，护理型床位补贴15.24万元）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4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妥否，请批示。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21年度养老机构床位运营省级补贴资金申请表</w:t>
      </w:r>
    </w:p>
    <w:p>
      <w:pPr>
        <w:spacing w:line="440" w:lineRule="exact"/>
        <w:ind w:firstLine="1440" w:firstLineChars="450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ind w:firstLine="1440" w:firstLineChars="450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ind w:firstLine="1440" w:firstLine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清流县民政局        清流县财政局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0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eastAsia="仿宋_GB2312"/>
          <w:b/>
          <w:bCs w:val="0"/>
          <w:sz w:val="32"/>
          <w:szCs w:val="32"/>
        </w:rPr>
      </w:pPr>
    </w:p>
    <w:p>
      <w:pPr>
        <w:spacing w:line="44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清政民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eastAsia="仿宋_GB2312"/>
          <w:sz w:val="32"/>
        </w:rPr>
        <w:t>号</w:t>
      </w:r>
    </w:p>
    <w:p>
      <w:pPr>
        <w:spacing w:line="440" w:lineRule="exact"/>
        <w:jc w:val="center"/>
        <w:rPr>
          <w:rFonts w:hint="default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20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21年度养老机构床位运营省级补贴资金申请表</w:t>
      </w:r>
    </w:p>
    <w:p>
      <w:pPr>
        <w:spacing w:line="50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96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3150"/>
        <w:gridCol w:w="1043"/>
        <w:gridCol w:w="1043"/>
        <w:gridCol w:w="1044"/>
        <w:gridCol w:w="1183"/>
        <w:gridCol w:w="1059"/>
        <w:gridCol w:w="8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运营机构/民办养老机构名称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核定床位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年平均入住人数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申请床位运营补助资金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非护理型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非护理型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福建省三明市永康智慧养老服务有限责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（清流县光荣福利院）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福建省三明市永康智慧养老服务有限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（李家乡敬老院）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福建双缘安养院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清流县祥安养老服务有限公司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（嵩溪、温郊、林畲敬老院）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21.74</w:t>
            </w:r>
          </w:p>
        </w:tc>
      </w:tr>
    </w:tbl>
    <w:p>
      <w:pPr>
        <w:spacing w:line="50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05492"/>
    <w:rsid w:val="027F0886"/>
    <w:rsid w:val="0C1B2974"/>
    <w:rsid w:val="13724122"/>
    <w:rsid w:val="17524F7B"/>
    <w:rsid w:val="24F66CED"/>
    <w:rsid w:val="25412806"/>
    <w:rsid w:val="3F6E5EEE"/>
    <w:rsid w:val="3FAE31A8"/>
    <w:rsid w:val="50784CB7"/>
    <w:rsid w:val="59605492"/>
    <w:rsid w:val="5C4173C7"/>
    <w:rsid w:val="6F896D9B"/>
    <w:rsid w:val="76E80070"/>
    <w:rsid w:val="7AA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2021-01-28T08:35:00Z</dcterms:created>
  <dc:creator>Administrator</dc:creator>
  <cp:lastModifiedBy>晓鎮</cp:lastModifiedBy>
  <cp:lastPrinted>2022-02-18T02:45:39Z</cp:lastPrinted>
  <dcterms:modified xsi:type="dcterms:W3CDTF">2022-02-18T02:49:23Z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