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3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7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067" w:type="dxa"/>
            <w:noWrap w:val="0"/>
            <w:vAlign w:val="top"/>
          </w:tcPr>
          <w:p>
            <w:pPr>
              <w:pStyle w:val="3"/>
              <w:spacing w:line="860" w:lineRule="exact"/>
              <w:jc w:val="distribute"/>
              <w:rPr>
                <w:rFonts w:hint="eastAsia" w:ascii="方正小标宋简体" w:hAnsi="宋体" w:eastAsia="方正小标宋简体"/>
                <w:bCs/>
                <w:color w:val="FF0000"/>
                <w:spacing w:val="-40"/>
                <w:w w:val="90"/>
                <w:sz w:val="56"/>
                <w:szCs w:val="56"/>
                <w:lang w:eastAsia="zh-CN"/>
              </w:rPr>
            </w:pPr>
            <w:bookmarkStart w:id="0" w:name="Content"/>
            <w:bookmarkEnd w:id="0"/>
            <w:r>
              <w:rPr>
                <w:rFonts w:hint="eastAsia" w:ascii="方正小标宋简体" w:hAnsi="宋体" w:eastAsia="方正小标宋简体"/>
                <w:bCs/>
                <w:color w:val="FF0000"/>
                <w:spacing w:val="-79"/>
                <w:w w:val="90"/>
                <w:sz w:val="56"/>
                <w:szCs w:val="56"/>
              </w:rPr>
              <w:t>中共清流县委</w:t>
            </w:r>
            <w:r>
              <w:rPr>
                <w:rFonts w:hint="eastAsia" w:ascii="方正小标宋简体" w:hAnsi="宋体" w:eastAsia="方正小标宋简体"/>
                <w:bCs/>
                <w:color w:val="FF0000"/>
                <w:spacing w:val="-79"/>
                <w:w w:val="90"/>
                <w:sz w:val="56"/>
                <w:szCs w:val="56"/>
                <w:lang w:eastAsia="zh-CN"/>
              </w:rPr>
              <w:t>人才工作领导小组</w:t>
            </w:r>
            <w:r>
              <w:rPr>
                <w:rFonts w:hint="eastAsia" w:ascii="方正小标宋简体" w:hAnsi="宋体" w:eastAsia="方正小标宋简体"/>
                <w:bCs/>
                <w:color w:val="FF0000"/>
                <w:spacing w:val="-79"/>
                <w:w w:val="90"/>
                <w:sz w:val="56"/>
                <w:szCs w:val="56"/>
                <w:lang w:val="en-US" w:eastAsia="zh-CN"/>
              </w:rPr>
              <w:t>办公室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pStyle w:val="3"/>
              <w:spacing w:line="800" w:lineRule="exact"/>
              <w:ind w:left="-81" w:leftChars="-137" w:hanging="207" w:hangingChars="46"/>
              <w:jc w:val="center"/>
              <w:rPr>
                <w:rFonts w:hint="eastAsia" w:ascii="宋体" w:hAnsi="宋体" w:eastAsia="宋体"/>
                <w:b/>
                <w:bCs/>
                <w:color w:val="FF0000"/>
                <w:szCs w:val="66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bCs/>
                <w:color w:val="FF0000"/>
                <w:spacing w:val="-45"/>
                <w:w w:val="90"/>
                <w:sz w:val="60"/>
                <w:szCs w:val="60"/>
                <w:lang w:val="en-US" w:eastAsia="zh-CN"/>
              </w:rPr>
              <w:t>文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067" w:type="dxa"/>
            <w:noWrap w:val="0"/>
            <w:vAlign w:val="top"/>
          </w:tcPr>
          <w:p>
            <w:pPr>
              <w:pStyle w:val="3"/>
              <w:spacing w:line="860" w:lineRule="exact"/>
              <w:jc w:val="distribute"/>
              <w:rPr>
                <w:rFonts w:hint="eastAsia" w:ascii="方正小标宋简体" w:hAnsi="宋体" w:eastAsia="方正小标宋简体"/>
                <w:bCs/>
                <w:color w:val="FF0000"/>
                <w:spacing w:val="-40"/>
                <w:w w:val="90"/>
                <w:sz w:val="56"/>
                <w:szCs w:val="56"/>
              </w:rPr>
            </w:pPr>
            <w:r>
              <w:rPr>
                <w:rFonts w:hint="eastAsia" w:ascii="方正小标宋简体" w:hAnsi="宋体" w:eastAsia="方正小标宋简体"/>
                <w:bCs/>
                <w:color w:val="FF0000"/>
                <w:spacing w:val="-45"/>
                <w:w w:val="90"/>
                <w:sz w:val="56"/>
                <w:szCs w:val="56"/>
                <w:lang w:eastAsia="zh-CN"/>
              </w:rPr>
              <w:t>清流县总工会</w:t>
            </w: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pStyle w:val="3"/>
              <w:spacing w:line="800" w:lineRule="exact"/>
              <w:ind w:left="-191" w:leftChars="-137" w:hanging="97" w:hangingChars="46"/>
              <w:jc w:val="center"/>
              <w:rPr>
                <w:rFonts w:hint="eastAsia" w:ascii="宋体" w:hAnsi="宋体" w:eastAsia="宋体"/>
                <w:b/>
                <w:bCs/>
                <w:color w:val="FF0000"/>
                <w:szCs w:val="6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清工联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〔2020〕</w:t>
      </w:r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6"/>
          <w:szCs w:val="36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32"/>
          <w:szCs w:val="32"/>
          <w:lang w:val="en-US" w:eastAsia="zh-CN"/>
        </w:rPr>
      </w:pPr>
      <w:r>
        <w:rPr>
          <w:rFonts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156845</wp:posOffset>
                </wp:positionV>
                <wp:extent cx="5553075" cy="635"/>
                <wp:effectExtent l="0" t="12700" r="9525" b="1524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pt;margin-top:12.35pt;height:0.05pt;width:437.25pt;z-index:251671552;mso-width-relative:page;mso-height-relative:page;" filled="f" stroked="t" coordsize="21600,21600" o:gfxdata="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ludTNYAAAAIAQAADwAA&#10;AAAAAAABACAAAAAiAAAAZHJzL2Rvd25yZXYueG1sUEsBAhQAFAAAAAgAh07iQCqsFlzfAQAAmQMA&#10;AA4AAAAAAAAAAQAgAAAAJQEAAGRycy9lMm9Eb2MueG1sUEsFBgAAAAAGAAYAWQEAAHY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关于组织开展清流县高层次人才健康疗休养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工作的实施方案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各乡（镇）、系统工会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行业工会，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各基层工会：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《三明市进一步加快人才集聚若干措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施》（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明委人才〔2019〕2号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《中共清流县委人才工作领导小组关于印发&lt;清流县加强企业高级人才队伍建设若干措施&gt;&lt;清流县鼓励高校毕业生来清就业创业的实施意见&gt;的通知》（清委人才〔2019〕1号）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文件精神，进一步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体现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的关心和爱护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，结合工作实际，提出以下实施方案。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参加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高层次人才、企业高级人才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集中组织开展1期高级人才疗休养活动，每次活动时长原则上不超过5天（含在途时间）。主要按照加强高层次人才人文关怀，以组织开展疗养休养为主，同步开展爱国敬业主题讲座、健康专题辅导、免费的革命传统教育基地、先进企业及社区、社会主义新农村、博物馆、纪念馆参观考察等多种活动，将疗休养活动与爱国主义教育结合起来，为广大人才放松身心、凝聚力量提供良好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三、组织程序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1.县委人才办每年初制定活动计划，确定参加当年度疗休养活动的高层次人才范围，提出活动要求。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2.总工会按照活动要求制定具体实施方案，拟定活动通知，报县委人才办审核同意。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3.县委人才办联合县总工会发放通知、组织报名，总工会根据实施方案做好食宿交通、参观培训等组织筹备工作。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4.组织部与总工会共同派员带队开展活动，全程做好服务保障工作。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5.总工会负责整理收集活动照片资料。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强化组织领导。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高层次人才疗休养活动在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人才工作领导小组领导下进行，由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总工会负责实施。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人才工作领导小组各成员单位要立足自身职能，做好疗休养活动的宣传发动。各用人单位要切实保障高层次人才疗休养权益，不得以参加疗休养所占用的工作日冲抵国务院规定的年休假假期。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（二）落实经费保障。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高层次人才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参加疗休养的往返交通费由所在单位按乘坐交通工具的凭据报销（不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再报销出差补贴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），落地后的疗休养费（含食宿交通费等）由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县总工会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承担，每人每天标准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参照《福建省总工会&lt;关于进一步加强和规范福建省职工疗休养工作的意见&gt;的通知》（闽工〔2018〕116号）精神，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按400元/人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（三）严格纪律要求。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活动组织实施须严格落实中央“八项规定”精神及省、市有关要求，不超标准安排食宿或超标准组织文艺演出等活动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不得以疗休养为名发放钱物，不得以疗休养为名组织公款或变相公款旅游。参加疗休养的人员要高度重视，妥善安排自身工作，严格遵守各项纪律，积极配合工作人员管理，确保活动顺畅有序进行。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中共清流县委人才工作领导小组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办公室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576" w:bottom="1440" w:left="157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4205B"/>
    <w:rsid w:val="004E6D94"/>
    <w:rsid w:val="01A447D4"/>
    <w:rsid w:val="03C91CAB"/>
    <w:rsid w:val="073E724B"/>
    <w:rsid w:val="0CAC23A5"/>
    <w:rsid w:val="0EE97FF1"/>
    <w:rsid w:val="0FE335A8"/>
    <w:rsid w:val="110F2C59"/>
    <w:rsid w:val="13370B7F"/>
    <w:rsid w:val="16F26310"/>
    <w:rsid w:val="178A6B65"/>
    <w:rsid w:val="17B71EA5"/>
    <w:rsid w:val="189632B5"/>
    <w:rsid w:val="1A225A37"/>
    <w:rsid w:val="1AA832FB"/>
    <w:rsid w:val="1E0F71F0"/>
    <w:rsid w:val="1E43777C"/>
    <w:rsid w:val="1F1164B4"/>
    <w:rsid w:val="1F716053"/>
    <w:rsid w:val="20911F0C"/>
    <w:rsid w:val="20CA7FAD"/>
    <w:rsid w:val="21186EEC"/>
    <w:rsid w:val="21CB46CD"/>
    <w:rsid w:val="22B135BA"/>
    <w:rsid w:val="22FE22DD"/>
    <w:rsid w:val="285A6A5F"/>
    <w:rsid w:val="28F51885"/>
    <w:rsid w:val="2AF4205B"/>
    <w:rsid w:val="2DF64FEE"/>
    <w:rsid w:val="307E6773"/>
    <w:rsid w:val="313A4AC7"/>
    <w:rsid w:val="32C549C5"/>
    <w:rsid w:val="336C4079"/>
    <w:rsid w:val="33FF2E0E"/>
    <w:rsid w:val="34AD75FE"/>
    <w:rsid w:val="36CD4D5B"/>
    <w:rsid w:val="37E214EC"/>
    <w:rsid w:val="39B713D1"/>
    <w:rsid w:val="3B361F0E"/>
    <w:rsid w:val="3CFC294C"/>
    <w:rsid w:val="4605581B"/>
    <w:rsid w:val="47CE4EDB"/>
    <w:rsid w:val="4A914262"/>
    <w:rsid w:val="4C3D5FBF"/>
    <w:rsid w:val="4CE64B56"/>
    <w:rsid w:val="4EB968F4"/>
    <w:rsid w:val="4F1F6554"/>
    <w:rsid w:val="50D03EA3"/>
    <w:rsid w:val="5E546413"/>
    <w:rsid w:val="5FEA4598"/>
    <w:rsid w:val="60052DB2"/>
    <w:rsid w:val="60797B5A"/>
    <w:rsid w:val="60B514CB"/>
    <w:rsid w:val="61430834"/>
    <w:rsid w:val="6145441B"/>
    <w:rsid w:val="626C3C98"/>
    <w:rsid w:val="65C616FB"/>
    <w:rsid w:val="661316E1"/>
    <w:rsid w:val="665B1A29"/>
    <w:rsid w:val="67505725"/>
    <w:rsid w:val="68256A00"/>
    <w:rsid w:val="6E132E78"/>
    <w:rsid w:val="6F5D095A"/>
    <w:rsid w:val="747720A5"/>
    <w:rsid w:val="74A16604"/>
    <w:rsid w:val="78DA57C4"/>
    <w:rsid w:val="79590850"/>
    <w:rsid w:val="7A741E68"/>
    <w:rsid w:val="7A9C725E"/>
    <w:rsid w:val="7AC438A3"/>
    <w:rsid w:val="7B4E4A51"/>
    <w:rsid w:val="7E2167AE"/>
    <w:rsid w:val="7EB70F7A"/>
    <w:rsid w:val="7F89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rFonts w:ascii="微软雅黑" w:hAnsi="微软雅黑" w:eastAsia="微软雅黑" w:cs="微软雅黑"/>
      <w:color w:val="333333"/>
      <w:sz w:val="21"/>
      <w:szCs w:val="21"/>
      <w:u w:val="none"/>
    </w:rPr>
  </w:style>
  <w:style w:type="character" w:styleId="12">
    <w:name w:val="Emphasis"/>
    <w:basedOn w:val="9"/>
    <w:qFormat/>
    <w:uiPriority w:val="0"/>
    <w:rPr>
      <w:b/>
    </w:rPr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Courier New" w:hAnsi="Courier New"/>
      <w:sz w:val="20"/>
    </w:rPr>
  </w:style>
  <w:style w:type="character" w:styleId="19">
    <w:name w:val="HTML Sample"/>
    <w:basedOn w:val="9"/>
    <w:qFormat/>
    <w:uiPriority w:val="0"/>
    <w:rPr>
      <w:rFonts w:ascii="Courier New" w:hAnsi="Courier New"/>
    </w:rPr>
  </w:style>
  <w:style w:type="character" w:customStyle="1" w:styleId="20">
    <w:name w:val="share_box"/>
    <w:basedOn w:val="9"/>
    <w:qFormat/>
    <w:uiPriority w:val="0"/>
  </w:style>
  <w:style w:type="character" w:customStyle="1" w:styleId="21">
    <w:name w:val="bsharetext"/>
    <w:basedOn w:val="9"/>
    <w:qFormat/>
    <w:uiPriority w:val="0"/>
  </w:style>
  <w:style w:type="character" w:customStyle="1" w:styleId="22">
    <w:name w:val="font2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3">
    <w:name w:val="font1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4">
    <w:name w:val="font0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2020-03-03T00:38:00Z</dcterms:created>
  <dc:creator>李久盛</dc:creator>
  <cp:lastModifiedBy>泡泡</cp:lastModifiedBy>
  <cp:lastPrinted>2020-06-29T07:22:00Z</cp:lastPrinted>
  <dcterms:modified xsi:type="dcterms:W3CDTF">2020-06-30T09:05:14Z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