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43CBB">
      <w:pPr>
        <w:spacing w:line="640" w:lineRule="exact"/>
        <w:jc w:val="left"/>
        <w:rPr>
          <w:rFonts w:hint="eastAsia" w:ascii="Times New Roman" w:hAnsi="Times New Roman" w:eastAsia="黑体" w:cs="黑体"/>
          <w:sz w:val="36"/>
          <w:szCs w:val="36"/>
          <w:lang w:val="en-US" w:eastAsia="zh-CN"/>
        </w:rPr>
      </w:pPr>
    </w:p>
    <w:p w14:paraId="39C9C8F3">
      <w:pPr>
        <w:spacing w:line="560" w:lineRule="exact"/>
        <w:rPr>
          <w:rFonts w:hint="eastAsia" w:ascii="Times New Roman" w:hAnsi="Times New Roman"/>
        </w:rPr>
      </w:pPr>
    </w:p>
    <w:p w14:paraId="47CA4192">
      <w:pPr>
        <w:spacing w:line="560" w:lineRule="exact"/>
        <w:ind w:firstLine="800" w:firstLineChars="200"/>
        <w:rPr>
          <w:rFonts w:hint="eastAsia" w:ascii="Times New Roman" w:hAnsi="Times New Roman"/>
        </w:rPr>
      </w:pPr>
      <w:r>
        <w:rPr>
          <w:rFonts w:ascii="Times New Roman" w:hAnsi="Times New Roman"/>
          <w:sz w:val="40"/>
          <w:szCs w:val="40"/>
        </w:rPr>
        <w:pict>
          <v:shape id="AutoShape 2" o:spid="_x0000_s2050" o:spt="136" type="#_x0000_t136" style="position:absolute;left:0pt;margin-left:4.25pt;margin-top:20.6pt;height:65.4pt;width:443.2pt;z-index:-251657216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中共清流县委人才工作领导小组" style="font-family:方正小标宋简体;font-size:24pt;v-text-align:center;"/>
          </v:shape>
        </w:pict>
      </w:r>
    </w:p>
    <w:p w14:paraId="545566D0">
      <w:pPr>
        <w:spacing w:line="560" w:lineRule="exact"/>
        <w:ind w:firstLine="420" w:firstLineChars="200"/>
        <w:rPr>
          <w:rFonts w:hint="eastAsia" w:ascii="Times New Roman" w:hAnsi="Times New Roman"/>
        </w:rPr>
      </w:pPr>
    </w:p>
    <w:p w14:paraId="0E66956D">
      <w:pPr>
        <w:spacing w:line="560" w:lineRule="exact"/>
        <w:ind w:firstLine="420" w:firstLineChars="200"/>
        <w:rPr>
          <w:rFonts w:hint="eastAsia" w:ascii="Times New Roman" w:hAnsi="Times New Roman"/>
          <w:sz w:val="21"/>
          <w:szCs w:val="21"/>
        </w:rPr>
      </w:pPr>
    </w:p>
    <w:p w14:paraId="35C7486C">
      <w:pPr>
        <w:spacing w:line="560" w:lineRule="exact"/>
        <w:rPr>
          <w:rFonts w:hint="eastAsia" w:ascii="Times New Roman" w:hAnsi="Times New Roman"/>
        </w:rPr>
      </w:pPr>
    </w:p>
    <w:p w14:paraId="3FB814E4">
      <w:pPr>
        <w:spacing w:line="560" w:lineRule="exact"/>
        <w:jc w:val="center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kern w:val="0"/>
          <w:sz w:val="32"/>
          <w:szCs w:val="32"/>
          <w:lang w:eastAsia="zh-CN"/>
        </w:rPr>
        <w:t>清委人才〔20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lang w:eastAsia="zh-CN"/>
        </w:rPr>
        <w:t>号</w:t>
      </w:r>
    </w:p>
    <w:tbl>
      <w:tblPr>
        <w:tblStyle w:val="15"/>
        <w:tblpPr w:leftFromText="180" w:rightFromText="180" w:vertAnchor="text" w:horzAnchor="page" w:tblpXSpec="center" w:tblpY="193"/>
        <w:tblOverlap w:val="never"/>
        <w:tblW w:w="0" w:type="auto"/>
        <w:jc w:val="center"/>
        <w:tblBorders>
          <w:top w:val="single" w:color="FF0000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 w14:paraId="280D3B2D">
        <w:tblPrEx>
          <w:tblBorders>
            <w:top w:val="single" w:color="FF0000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40" w:type="dxa"/>
            <w:tcBorders>
              <w:top w:val="single" w:color="FF0000" w:sz="24" w:space="0"/>
              <w:left w:val="nil"/>
              <w:bottom w:val="nil"/>
              <w:right w:val="nil"/>
            </w:tcBorders>
            <w:noWrap w:val="0"/>
            <w:vAlign w:val="top"/>
          </w:tcPr>
          <w:p w14:paraId="05A49807">
            <w:pPr>
              <w:tabs>
                <w:tab w:val="left" w:pos="6960"/>
              </w:tabs>
              <w:spacing w:line="600" w:lineRule="exact"/>
              <w:ind w:firstLine="636" w:firstLineChars="199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</w:tbl>
    <w:p w14:paraId="7644E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中共清流县委人才工作领导小组</w:t>
      </w:r>
    </w:p>
    <w:p w14:paraId="723A0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关于印发《清流县柔性引才实施细则</w:t>
      </w:r>
    </w:p>
    <w:p w14:paraId="7E733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试行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》的通知</w:t>
      </w:r>
    </w:p>
    <w:p w14:paraId="037BA9E5">
      <w:pPr>
        <w:spacing w:line="500" w:lineRule="exact"/>
        <w:jc w:val="left"/>
        <w:rPr>
          <w:rFonts w:hint="eastAsia" w:ascii="Times New Roman" w:hAnsi="Times New Roman" w:eastAsia="楷体_GB2312"/>
          <w:szCs w:val="32"/>
        </w:rPr>
      </w:pPr>
    </w:p>
    <w:p w14:paraId="7C0CF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各乡（镇），县直各单位：</w:t>
      </w:r>
    </w:p>
    <w:p w14:paraId="4B6DC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现将《清流县柔性引才实施细则（试行）》印发给你们，请认真抓好贯彻落实。</w:t>
      </w:r>
    </w:p>
    <w:p w14:paraId="7D1AF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</w:pPr>
    </w:p>
    <w:p w14:paraId="77881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</w:pPr>
    </w:p>
    <w:p w14:paraId="533F6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  <w:t>中共清流县委人才工作领导小组</w:t>
      </w:r>
    </w:p>
    <w:p w14:paraId="425A7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日</w:t>
      </w:r>
    </w:p>
    <w:p w14:paraId="546BBD29">
      <w:pPr>
        <w:pStyle w:val="11"/>
        <w:rPr>
          <w:rFonts w:hint="eastAsia" w:ascii="Times New Roman" w:hAnsi="Times New Roman"/>
          <w:lang w:eastAsia="zh-CN"/>
        </w:rPr>
      </w:pPr>
    </w:p>
    <w:p w14:paraId="33721C56">
      <w:pPr>
        <w:pStyle w:val="5"/>
        <w:rPr>
          <w:rFonts w:hint="eastAsia" w:ascii="Times New Roman" w:hAnsi="Times New Roman"/>
          <w:lang w:eastAsia="zh-CN"/>
        </w:rPr>
      </w:pPr>
    </w:p>
    <w:p w14:paraId="16AA20F0">
      <w:pPr>
        <w:rPr>
          <w:rFonts w:hint="eastAsia" w:ascii="Times New Roman" w:hAnsi="Times New Roman"/>
          <w:lang w:eastAsia="zh-CN"/>
        </w:rPr>
      </w:pPr>
    </w:p>
    <w:p w14:paraId="7E4DAA83">
      <w:pPr>
        <w:pStyle w:val="11"/>
        <w:rPr>
          <w:rFonts w:hint="eastAsia" w:ascii="Times New Roman" w:hAnsi="Times New Roman"/>
          <w:lang w:eastAsia="zh-CN"/>
        </w:rPr>
      </w:pPr>
    </w:p>
    <w:p w14:paraId="46CBBD18">
      <w:pPr>
        <w:pStyle w:val="5"/>
        <w:rPr>
          <w:rFonts w:hint="eastAsia" w:ascii="Times New Roman" w:hAnsi="Times New Roman"/>
          <w:lang w:eastAsia="zh-CN"/>
        </w:rPr>
      </w:pPr>
    </w:p>
    <w:p w14:paraId="5809CED5">
      <w:pPr>
        <w:rPr>
          <w:rFonts w:hint="eastAsia" w:ascii="Times New Roman" w:hAnsi="Times New Roman"/>
          <w:lang w:eastAsia="zh-CN"/>
        </w:rPr>
      </w:pPr>
    </w:p>
    <w:p w14:paraId="10515CA7">
      <w:pPr>
        <w:pStyle w:val="21"/>
        <w:rPr>
          <w:rFonts w:hint="eastAsia" w:ascii="Times New Roman" w:hAnsi="Times New Roman"/>
          <w:lang w:eastAsia="zh-CN"/>
        </w:rPr>
      </w:pPr>
    </w:p>
    <w:p w14:paraId="7A5BF501">
      <w:pPr>
        <w:pStyle w:val="11"/>
        <w:rPr>
          <w:rFonts w:hint="eastAsia" w:ascii="Times New Roman" w:hAnsi="Times New Roman"/>
          <w:lang w:eastAsia="zh-CN"/>
        </w:rPr>
      </w:pPr>
    </w:p>
    <w:p w14:paraId="3BE2676C">
      <w:pPr>
        <w:rPr>
          <w:rFonts w:hint="eastAsia" w:ascii="Times New Roman" w:hAnsi="Times New Roman"/>
          <w:lang w:eastAsia="zh-CN"/>
        </w:rPr>
      </w:pPr>
    </w:p>
    <w:p w14:paraId="30D41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rPr>
          <w:rFonts w:hint="eastAsia" w:ascii="仿宋_GB2312" w:hAnsi="仿宋_GB2312" w:eastAsia="方正小标宋简体" w:cs="方正小标宋简体"/>
          <w:sz w:val="44"/>
          <w:szCs w:val="44"/>
        </w:rPr>
      </w:pPr>
    </w:p>
    <w:p w14:paraId="7C383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rPr>
          <w:rFonts w:hint="eastAsia" w:ascii="仿宋_GB2312" w:hAnsi="仿宋_GB2312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方正小标宋简体" w:cs="方正小标宋简体"/>
          <w:sz w:val="44"/>
          <w:szCs w:val="44"/>
        </w:rPr>
        <w:t>清流县柔性引才实施细则</w:t>
      </w:r>
      <w:r>
        <w:rPr>
          <w:rFonts w:hint="eastAsia" w:ascii="仿宋_GB2312" w:hAnsi="仿宋_GB2312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仿宋_GB2312" w:hAnsi="仿宋_GB2312" w:eastAsia="方正小标宋简体" w:cs="方正小标宋简体"/>
          <w:sz w:val="44"/>
          <w:szCs w:val="44"/>
        </w:rPr>
        <w:t>试行</w:t>
      </w:r>
      <w:r>
        <w:rPr>
          <w:rFonts w:hint="eastAsia" w:ascii="仿宋_GB2312" w:hAnsi="仿宋_GB2312" w:eastAsia="方正小标宋简体" w:cs="方正小标宋简体"/>
          <w:sz w:val="44"/>
          <w:szCs w:val="44"/>
          <w:lang w:eastAsia="zh-CN"/>
        </w:rPr>
        <w:t>）</w:t>
      </w:r>
    </w:p>
    <w:p w14:paraId="2114C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eastAsia="zh-CN"/>
        </w:rPr>
      </w:pPr>
    </w:p>
    <w:p w14:paraId="498DD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/>
        <w:jc w:val="center"/>
        <w:textAlignment w:val="baseline"/>
        <w:rPr>
          <w:rFonts w:hint="eastAsia" w:ascii="仿宋_GB2312" w:hAnsi="仿宋_GB2312" w:eastAsia="黑体" w:cs="黑体"/>
          <w:sz w:val="32"/>
          <w:szCs w:val="32"/>
        </w:rPr>
      </w:pPr>
      <w:r>
        <w:rPr>
          <w:rFonts w:hint="eastAsia" w:ascii="仿宋_GB2312" w:hAnsi="仿宋_GB2312" w:eastAsia="黑体" w:cs="黑体"/>
          <w:sz w:val="32"/>
          <w:szCs w:val="32"/>
        </w:rPr>
        <w:t>第一章  总则</w:t>
      </w:r>
    </w:p>
    <w:p w14:paraId="37AEC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1CCD0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楷体_GB2312" w:cs="楷体_GB2312"/>
          <w:sz w:val="32"/>
          <w:szCs w:val="32"/>
        </w:rPr>
        <w:t>第一条</w:t>
      </w:r>
      <w:r>
        <w:rPr>
          <w:rFonts w:hint="eastAsia" w:ascii="仿宋_GB2312" w:hAnsi="仿宋_GB2312" w:eastAsia="楷体_GB2312" w:cs="楷体_GB2312"/>
          <w:b/>
          <w:bCs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为深入学习贯彻党的二十大精神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全面贯彻习近平总书记关于做好新时代人才工作的重要思想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贯彻落实“聚天下英才而用之”“不求所有、但求所用”等理念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坚持用事业、用平台引才聚才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建立更加开放、更加灵活、更加有效的人才引进和使用机制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根据《福建省氟新材料产业链特聘专家团工作方案（2025-2027年）》（闽委人才办〔2025〕3号）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《三明市人才认定办法（修订）》（明委人才办〔2025〕2号）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《关于促进清流县革命老区氟新材料产业人才集聚工作方案》（清委〔2024〕18号）等文件精神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制定本实施细则。</w:t>
      </w:r>
    </w:p>
    <w:p w14:paraId="5151D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楷体_GB2312" w:cs="楷体_GB2312"/>
          <w:sz w:val="32"/>
          <w:szCs w:val="32"/>
        </w:rPr>
        <w:t xml:space="preserve">第二条  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党管人才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原则，加强党对柔性引才工作的领导，确保引才工作的正确方向。坚持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不求所有，但求所用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原则，打破传统引才方式，不改变人事关系，以灵活方式引进人才，为清流发展服务。坚持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按需引才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贡献和奖励对等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原则，根据经济社会发展的实际需求、用人单位具体需求，有针对性地引进人才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并根据贡献，提供工作、生活条件，给予补助和奖励。</w:t>
      </w:r>
    </w:p>
    <w:p w14:paraId="5CB66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楷体_GB2312" w:cs="楷体_GB2312"/>
          <w:sz w:val="32"/>
          <w:szCs w:val="32"/>
        </w:rPr>
        <w:t xml:space="preserve">第三条  </w:t>
      </w:r>
      <w:r>
        <w:rPr>
          <w:rFonts w:hint="eastAsia" w:ascii="仿宋_GB2312" w:hAnsi="仿宋_GB2312" w:eastAsia="仿宋_GB2312" w:cs="仿宋_GB2312"/>
          <w:sz w:val="32"/>
          <w:szCs w:val="32"/>
        </w:rPr>
        <w:t>本实施细则所称柔性引才是指不改变户籍、身份、档案、社保、人事关系的前提下，通过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人才飞地、聘请专家、人才回引、对口支援、股权投资、退休返聘、工作站点、项目合作、对接交流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创新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创业</w:t>
      </w:r>
      <w:r>
        <w:rPr>
          <w:rFonts w:hint="eastAsia" w:ascii="仿宋_GB2312" w:hAnsi="仿宋_GB2312" w:eastAsia="仿宋_GB2312" w:cs="仿宋_GB2312"/>
          <w:sz w:val="32"/>
          <w:szCs w:val="32"/>
        </w:rPr>
        <w:t>等方式，从县外引进的人才或团队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</w:t>
      </w:r>
      <w:r>
        <w:rPr>
          <w:rFonts w:ascii="仿宋_GB2312" w:hAnsi="仿宋_GB2312" w:eastAsia="仿宋_GB2312" w:cs="仿宋_GB2312"/>
          <w:sz w:val="32"/>
          <w:szCs w:val="32"/>
        </w:rPr>
        <w:t>我县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开展合作、</w:t>
      </w:r>
      <w:r>
        <w:rPr>
          <w:rFonts w:ascii="仿宋_GB2312" w:hAnsi="仿宋_GB2312" w:eastAsia="仿宋_GB2312" w:cs="仿宋_GB2312"/>
          <w:sz w:val="32"/>
          <w:szCs w:val="32"/>
        </w:rPr>
        <w:t>创新创业</w:t>
      </w:r>
      <w:r>
        <w:rPr>
          <w:rFonts w:hint="eastAsia" w:ascii="仿宋_GB2312" w:hAnsi="仿宋_GB2312" w:eastAsia="仿宋_GB2312" w:cs="仿宋_GB2312"/>
          <w:sz w:val="32"/>
          <w:szCs w:val="32"/>
        </w:rPr>
        <w:t>，实现“不求所有、但求所用”的一种引才机制。</w:t>
      </w:r>
    </w:p>
    <w:p w14:paraId="65C1A737"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left="0" w:leftChars="0"/>
        <w:jc w:val="both"/>
        <w:textAlignment w:val="baseline"/>
        <w:rPr>
          <w:rFonts w:hint="eastAsia" w:ascii="仿宋_GB2312" w:hAnsi="仿宋_GB2312"/>
          <w:sz w:val="32"/>
          <w:szCs w:val="32"/>
        </w:rPr>
      </w:pPr>
    </w:p>
    <w:p w14:paraId="459E4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/>
        <w:jc w:val="center"/>
        <w:textAlignment w:val="baseline"/>
        <w:rPr>
          <w:rFonts w:ascii="仿宋_GB2312" w:hAnsi="仿宋_GB2312" w:eastAsia="黑体" w:cs="黑体"/>
          <w:sz w:val="32"/>
          <w:szCs w:val="32"/>
        </w:rPr>
      </w:pPr>
      <w:r>
        <w:rPr>
          <w:rFonts w:hint="eastAsia" w:ascii="仿宋_GB2312" w:hAnsi="仿宋_GB2312" w:eastAsia="黑体" w:cs="黑体"/>
          <w:sz w:val="32"/>
          <w:szCs w:val="32"/>
        </w:rPr>
        <w:t>第二章  引进条件及方式</w:t>
      </w:r>
    </w:p>
    <w:p w14:paraId="7FA3A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0B7C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楷体_GB2312" w:cs="楷体_GB2312"/>
          <w:sz w:val="32"/>
          <w:szCs w:val="32"/>
        </w:rPr>
        <w:t>第</w:t>
      </w:r>
      <w:r>
        <w:rPr>
          <w:rFonts w:hint="eastAsia" w:ascii="仿宋_GB2312" w:hAnsi="仿宋_GB2312" w:eastAsia="楷体_GB2312" w:cs="楷体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楷体_GB2312" w:cs="楷体_GB2312"/>
          <w:sz w:val="32"/>
          <w:szCs w:val="32"/>
        </w:rPr>
        <w:t xml:space="preserve">条  </w:t>
      </w:r>
      <w:r>
        <w:rPr>
          <w:rFonts w:hint="eastAsia" w:ascii="仿宋_GB2312" w:hAnsi="仿宋_GB2312" w:eastAsia="仿宋_GB2312" w:cs="仿宋_GB2312"/>
          <w:sz w:val="32"/>
          <w:szCs w:val="32"/>
        </w:rPr>
        <w:t>引进对象突出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“高端、急需、紧缺”导向，围绕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县氟</w:t>
      </w:r>
      <w:r>
        <w:rPr>
          <w:rFonts w:ascii="仿宋_GB2312" w:hAnsi="仿宋_GB2312" w:eastAsia="仿宋_GB2312" w:cs="仿宋_GB2312"/>
          <w:sz w:val="32"/>
          <w:szCs w:val="32"/>
          <w:u w:val="none"/>
        </w:rPr>
        <w:t>新材料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等重点产业，教育</w:t>
      </w:r>
      <w:r>
        <w:rPr>
          <w:rFonts w:ascii="仿宋_GB2312" w:hAnsi="仿宋_GB2312" w:eastAsia="仿宋_GB2312" w:cs="仿宋_GB2312"/>
          <w:sz w:val="32"/>
          <w:szCs w:val="32"/>
          <w:u w:val="none"/>
        </w:rPr>
        <w:t>、医疗等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重点领域，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并符合下列条件之一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1D514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（一）与用人单位签订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项目合作或聘用</w:t>
      </w:r>
      <w:r>
        <w:rPr>
          <w:rFonts w:hint="eastAsia" w:ascii="仿宋_GB2312" w:hAnsi="仿宋_GB2312" w:eastAsia="仿宋_GB2312" w:cs="仿宋_GB2312"/>
          <w:sz w:val="32"/>
          <w:szCs w:val="32"/>
        </w:rPr>
        <w:t>协议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。其中，项目合作协议内容应包含合作项目、范围、合作方式、期限、合作金额及支付方式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双方需约定的事项。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聘用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内容应包含柔性引进的工作时限、工作目标、相关要求、劳务报酬、福利待遇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双方需约定的事项。</w:t>
      </w:r>
    </w:p>
    <w:p w14:paraId="27C17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ascii="仿宋_GB2312" w:hAnsi="仿宋_GB2312" w:eastAsia="仿宋_GB2312" w:cs="仿宋_GB2312"/>
          <w:sz w:val="32"/>
          <w:szCs w:val="32"/>
        </w:rPr>
        <w:t>创新创业人才</w:t>
      </w:r>
      <w:r>
        <w:rPr>
          <w:rFonts w:hint="eastAsia" w:ascii="仿宋_GB2312" w:hAnsi="仿宋_GB2312" w:eastAsia="仿宋_GB2312" w:cs="仿宋_GB2312"/>
          <w:sz w:val="32"/>
          <w:szCs w:val="32"/>
        </w:rPr>
        <w:t>掌握的核心技术拥有自主知识产权，具有技术成熟并已进入产业化阶段，目标产品具有较好的市场前景，符合我县重点产业发展方向。</w:t>
      </w:r>
    </w:p>
    <w:p w14:paraId="19AC4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经县委人才办认定的其他人才。</w:t>
      </w:r>
    </w:p>
    <w:p w14:paraId="4DC29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楷体_GB2312" w:cs="楷体_GB2312"/>
          <w:sz w:val="32"/>
          <w:szCs w:val="32"/>
        </w:rPr>
        <w:t>第</w:t>
      </w:r>
      <w:r>
        <w:rPr>
          <w:rFonts w:hint="eastAsia" w:ascii="仿宋_GB2312" w:hAnsi="仿宋_GB2312" w:eastAsia="楷体_GB2312" w:cs="楷体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楷体_GB2312" w:cs="楷体_GB2312"/>
          <w:sz w:val="32"/>
          <w:szCs w:val="32"/>
        </w:rPr>
        <w:t xml:space="preserve">条  </w:t>
      </w:r>
      <w:r>
        <w:rPr>
          <w:rFonts w:hint="eastAsia" w:ascii="仿宋_GB2312" w:hAnsi="仿宋_GB2312" w:eastAsia="仿宋_GB2312" w:cs="仿宋_GB2312"/>
          <w:sz w:val="32"/>
          <w:szCs w:val="32"/>
        </w:rPr>
        <w:t>柔性引才方式主要包括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13208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（一）“人才飞地”引才。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我县用人单位在国内外重点城市建设的飞地孵化器、飞地研发机构或飞地人才驿站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利用当地科技创新资源集聚优势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全职或柔性引进的各类人才。</w:t>
      </w:r>
    </w:p>
    <w:p w14:paraId="3295C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（二）聘请专家。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为我县产业发展和重大战略规划等事项提供决策咨询、人才智力支持，开展关键技术集成创新、合作项目联合攻关、科研成果落地转化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福建省氟新材料产业链特聘专家团等</w:t>
      </w:r>
      <w:r>
        <w:rPr>
          <w:rFonts w:hint="eastAsia" w:ascii="仿宋_GB2312" w:hAnsi="仿宋_GB2312" w:eastAsia="仿宋_GB2312" w:cs="仿宋_GB2312"/>
          <w:sz w:val="32"/>
          <w:szCs w:val="32"/>
        </w:rPr>
        <w:t>专家。</w:t>
      </w:r>
    </w:p>
    <w:p w14:paraId="2AAE2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（三）人才回引。</w:t>
      </w:r>
      <w:r>
        <w:rPr>
          <w:rFonts w:hint="eastAsia" w:ascii="仿宋_GB2312" w:hAnsi="仿宋_GB2312" w:eastAsia="仿宋_GB2312" w:cs="仿宋_GB2312"/>
          <w:sz w:val="32"/>
          <w:szCs w:val="32"/>
        </w:rPr>
        <w:t>利用周末、节假日或返乡探亲期间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为清流提供科学研究、课题攻关、课程讲授、人才培养、成果转化、技术推广、工艺改造、项目开发及其他相关方面智力支持的优秀人才。</w:t>
      </w:r>
    </w:p>
    <w:p w14:paraId="0E38C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（四）对口支援引才。</w:t>
      </w:r>
      <w:r>
        <w:rPr>
          <w:rFonts w:hint="eastAsia" w:ascii="仿宋_GB2312" w:hAnsi="仿宋_GB2312" w:eastAsia="仿宋_GB2312" w:cs="仿宋_GB2312"/>
          <w:sz w:val="32"/>
          <w:szCs w:val="32"/>
        </w:rPr>
        <w:t>与市外用人单位签订整体合作协议的方式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吸引其轮流选派本单位且集中、定向、定期为我县相关用人单位提供1年以上对口智力支援的优秀人才。</w:t>
      </w:r>
    </w:p>
    <w:p w14:paraId="0C0C4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（五）创新创业引才。</w:t>
      </w:r>
      <w:r>
        <w:rPr>
          <w:rFonts w:hint="eastAsia" w:ascii="仿宋_GB2312" w:hAnsi="仿宋_GB2312" w:eastAsia="仿宋_GB2312" w:cs="仿宋_GB2312"/>
          <w:sz w:val="32"/>
          <w:szCs w:val="32"/>
        </w:rPr>
        <w:t>拥有自主知识产权、非全职来清创办企业的人才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或带资本投资且实到资金5000万元以上的人才。</w:t>
      </w:r>
    </w:p>
    <w:p w14:paraId="3B26F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（六）退休返聘引才。</w:t>
      </w:r>
      <w:r>
        <w:rPr>
          <w:rFonts w:hint="eastAsia" w:ascii="仿宋_GB2312" w:hAnsi="仿宋_GB2312" w:eastAsia="仿宋_GB2312" w:cs="仿宋_GB2312"/>
          <w:sz w:val="32"/>
          <w:szCs w:val="32"/>
        </w:rPr>
        <w:t>签订5年以上协议的新引进退休省</w:t>
      </w:r>
      <w:r>
        <w:rPr>
          <w:rFonts w:ascii="仿宋_GB2312" w:hAnsi="仿宋_GB2312" w:eastAsia="仿宋_GB2312" w:cs="仿宋_GB2312"/>
          <w:sz w:val="32"/>
          <w:szCs w:val="32"/>
        </w:rPr>
        <w:t>级高层次</w:t>
      </w:r>
      <w:r>
        <w:rPr>
          <w:rFonts w:hint="eastAsia" w:ascii="仿宋_GB2312" w:hAnsi="仿宋_GB2312" w:eastAsia="仿宋_GB2312" w:cs="仿宋_GB2312"/>
          <w:sz w:val="32"/>
          <w:szCs w:val="32"/>
        </w:rPr>
        <w:t>ABC类人才或企业新引进年薪10万元以上的退休高层次人才。</w:t>
      </w:r>
    </w:p>
    <w:p w14:paraId="72AAD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（七）工作站点引才。</w:t>
      </w:r>
      <w:r>
        <w:rPr>
          <w:rFonts w:hint="eastAsia" w:ascii="仿宋_GB2312" w:hAnsi="仿宋_GB2312" w:eastAsia="仿宋_GB2312" w:cs="仿宋_GB2312"/>
          <w:sz w:val="32"/>
          <w:szCs w:val="32"/>
        </w:rPr>
        <w:t>依托县级及以上人才平台柔性引进县外高层次人才或团队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来我县主持学科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专科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建设或建立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名医工作室开展“师带徒”人才培养合作的县外高层次人才或团队。</w:t>
      </w:r>
    </w:p>
    <w:p w14:paraId="30CED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（八）项目合作引才。</w:t>
      </w:r>
      <w:r>
        <w:rPr>
          <w:rFonts w:hint="eastAsia" w:ascii="仿宋_GB2312" w:hAnsi="仿宋_GB2312" w:eastAsia="仿宋_GB2312" w:cs="仿宋_GB2312"/>
          <w:sz w:val="32"/>
          <w:szCs w:val="32"/>
        </w:rPr>
        <w:t>依托市级及以上重点项目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重点课题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与我县用人单位签订项目合同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协议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联合开展课题研究、产品研发和技术创新等工作的县外高层次人才。</w:t>
      </w:r>
    </w:p>
    <w:p w14:paraId="1E3CE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（九）人才对接交流。</w:t>
      </w:r>
      <w:r>
        <w:rPr>
          <w:rFonts w:hint="eastAsia" w:ascii="仿宋_GB2312" w:hAnsi="仿宋_GB2312" w:eastAsia="仿宋_GB2312" w:cs="仿宋_GB2312"/>
          <w:sz w:val="32"/>
          <w:szCs w:val="32"/>
        </w:rPr>
        <w:t>受邀参加应聘求职、实习、实训、实践、</w:t>
      </w:r>
      <w:r>
        <w:rPr>
          <w:rFonts w:ascii="仿宋_GB2312" w:hAnsi="仿宋_GB2312" w:eastAsia="仿宋_GB2312" w:cs="仿宋_GB2312"/>
          <w:sz w:val="32"/>
          <w:szCs w:val="32"/>
        </w:rPr>
        <w:t>对接交流</w:t>
      </w:r>
      <w:r>
        <w:rPr>
          <w:rFonts w:hint="eastAsia" w:ascii="仿宋_GB2312" w:hAnsi="仿宋_GB2312" w:eastAsia="仿宋_GB2312" w:cs="仿宋_GB2312"/>
          <w:sz w:val="32"/>
          <w:szCs w:val="32"/>
        </w:rPr>
        <w:t>的学生和</w:t>
      </w:r>
      <w:r>
        <w:rPr>
          <w:rFonts w:ascii="仿宋_GB2312" w:hAnsi="仿宋_GB2312" w:eastAsia="仿宋_GB2312" w:cs="仿宋_GB2312"/>
          <w:sz w:val="32"/>
          <w:szCs w:val="32"/>
        </w:rPr>
        <w:t>专家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参加人才、人社部门招才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引智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活动的企业。</w:t>
      </w:r>
    </w:p>
    <w:p w14:paraId="5575B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3" w:firstLineChars="200"/>
        <w:jc w:val="both"/>
        <w:textAlignment w:val="baseline"/>
        <w:rPr>
          <w:rFonts w:hint="eastAsia" w:ascii="仿宋_GB2312" w:hAnsi="仿宋_GB2312" w:eastAsia="黑体" w:cs="黑体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（十）</w:t>
      </w:r>
      <w:r>
        <w:rPr>
          <w:rFonts w:hint="eastAsia" w:ascii="仿宋_GB2312" w:hAnsi="仿宋_GB2312" w:eastAsia="仿宋_GB2312" w:cs="仿宋_GB2312"/>
          <w:sz w:val="32"/>
          <w:szCs w:val="32"/>
        </w:rPr>
        <w:t>经县委人才办备案的其他柔性引才方式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如服务外包、人才租赁等。</w:t>
      </w:r>
    </w:p>
    <w:p w14:paraId="0A3A4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/>
        <w:jc w:val="both"/>
        <w:textAlignment w:val="baseline"/>
        <w:rPr>
          <w:rFonts w:hint="eastAsia" w:ascii="仿宋_GB2312" w:hAnsi="仿宋_GB2312" w:eastAsia="黑体" w:cs="黑体"/>
          <w:sz w:val="32"/>
          <w:szCs w:val="32"/>
        </w:rPr>
      </w:pPr>
    </w:p>
    <w:p w14:paraId="60AE9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/>
        <w:jc w:val="center"/>
        <w:textAlignment w:val="baseline"/>
        <w:rPr>
          <w:rFonts w:hint="eastAsia" w:ascii="仿宋_GB2312" w:hAnsi="仿宋_GB2312" w:eastAsia="黑体" w:cs="黑体"/>
          <w:sz w:val="32"/>
          <w:szCs w:val="32"/>
        </w:rPr>
      </w:pPr>
      <w:r>
        <w:rPr>
          <w:rFonts w:hint="eastAsia" w:ascii="仿宋_GB2312" w:hAnsi="仿宋_GB2312" w:eastAsia="黑体" w:cs="黑体"/>
          <w:sz w:val="32"/>
          <w:szCs w:val="32"/>
        </w:rPr>
        <w:t>第三章  政策待遇</w:t>
      </w:r>
    </w:p>
    <w:p w14:paraId="33EB5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楷体_GB2312" w:cs="楷体_GB2312"/>
          <w:sz w:val="32"/>
          <w:szCs w:val="32"/>
        </w:rPr>
      </w:pPr>
    </w:p>
    <w:p w14:paraId="6EC7F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楷体_GB2312" w:cs="楷体_GB2312"/>
          <w:color w:val="auto"/>
          <w:sz w:val="32"/>
          <w:szCs w:val="32"/>
        </w:rPr>
        <w:t>第</w:t>
      </w:r>
      <w:r>
        <w:rPr>
          <w:rFonts w:hint="eastAsia" w:ascii="仿宋_GB2312" w:hAnsi="仿宋_GB2312" w:eastAsia="楷体_GB2312" w:cs="楷体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楷体_GB2312" w:cs="楷体_GB2312"/>
          <w:color w:val="auto"/>
          <w:sz w:val="32"/>
          <w:szCs w:val="32"/>
        </w:rPr>
        <w:t>条</w:t>
      </w:r>
      <w:r>
        <w:rPr>
          <w:rFonts w:hint="eastAsia" w:ascii="仿宋_GB2312" w:hAnsi="仿宋_GB2312" w:eastAsia="楷体_GB2312" w:cs="楷体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基础待遇</w:t>
      </w:r>
    </w:p>
    <w:p w14:paraId="62BC1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人才认定。</w:t>
      </w:r>
      <w:r>
        <w:rPr>
          <w:rFonts w:hint="eastAsia" w:ascii="仿宋_GB2312" w:hAnsi="仿宋_GB2312" w:eastAsia="仿宋_GB2312" w:cs="仿宋_GB2312"/>
          <w:sz w:val="32"/>
          <w:szCs w:val="32"/>
        </w:rPr>
        <w:t>柔性引进的人才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</w:rPr>
        <w:t>参照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《福建省高层次人才认定和支持办法（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试行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）》（闽委人才〔2020〕4号）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《关于修订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sz w:val="32"/>
          <w:szCs w:val="32"/>
        </w:rPr>
        <w:t>三明市进一步加快人才集聚若干措施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sz w:val="32"/>
          <w:szCs w:val="32"/>
        </w:rPr>
        <w:t>等人才政策的通知》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（明委人才办〔2023〕10号）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等相关规定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在福建海纳百川人才网、三明人才网认定省、市级人才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依据合同或协议约定的期限申请人才认定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并享受本实施细则规定的相应政策待遇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符合条件的可享受《福建省高层次人才认定和支持办法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试行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》规定的政策待遇。</w:t>
      </w:r>
    </w:p>
    <w:p w14:paraId="7CD24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人才服务。</w:t>
      </w:r>
      <w:r>
        <w:rPr>
          <w:rFonts w:hint="eastAsia" w:ascii="仿宋_GB2312" w:hAnsi="仿宋_GB2312" w:eastAsia="仿宋_GB2312" w:cs="仿宋_GB2312"/>
          <w:sz w:val="32"/>
          <w:szCs w:val="32"/>
        </w:rPr>
        <w:t>经认定的柔性引进人才纳入党委联系专家和人才卡服务范围。在清工作期间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在科研立项、成果转化、参评重大奖项、创新创业、交通出行、文化旅游、人才慰问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子女教育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等方面享受全职引进人才同等待遇。其中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对签订3年以上合同或协议且每年在清实际工作时间累计达6个月以上的，可免费入住人才公寓；优秀人才其直系亲属在清就医可享受绿色通道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其子女入园入学可享受子女教育保障政策。</w:t>
      </w:r>
    </w:p>
    <w:p w14:paraId="332BB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享受人才消费券。</w:t>
      </w:r>
      <w:r>
        <w:rPr>
          <w:rFonts w:hint="eastAsia" w:ascii="仿宋_GB2312" w:hAnsi="仿宋_GB2312" w:eastAsia="仿宋_GB2312" w:cs="仿宋_GB2312"/>
          <w:sz w:val="32"/>
          <w:szCs w:val="32"/>
        </w:rPr>
        <w:t>经认定的柔性引进人才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按照特级人才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院士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、A类、B类、C类、D类、E类人才层次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每年可对应申请5个、4个、3个、2个、1个、1个名额的免费来清休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假人才消费券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以下简称“人才消费券”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每个聘用周期连续领取且最多不超过3年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当年发放仅供当年使用。</w:t>
      </w:r>
    </w:p>
    <w:tbl>
      <w:tblPr>
        <w:tblStyle w:val="15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1387"/>
        <w:gridCol w:w="1134"/>
        <w:gridCol w:w="1134"/>
        <w:gridCol w:w="1134"/>
        <w:gridCol w:w="1134"/>
        <w:gridCol w:w="1134"/>
      </w:tblGrid>
      <w:tr w14:paraId="375B1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noWrap w:val="0"/>
            <w:vAlign w:val="center"/>
          </w:tcPr>
          <w:p w14:paraId="5F8E7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人才类别</w:t>
            </w:r>
          </w:p>
        </w:tc>
        <w:tc>
          <w:tcPr>
            <w:tcW w:w="1387" w:type="dxa"/>
            <w:noWrap w:val="0"/>
            <w:vAlign w:val="center"/>
          </w:tcPr>
          <w:p w14:paraId="4445D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特级人才</w:t>
            </w:r>
          </w:p>
          <w:p w14:paraId="5D89A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院士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34" w:type="dxa"/>
            <w:noWrap w:val="0"/>
            <w:vAlign w:val="center"/>
          </w:tcPr>
          <w:p w14:paraId="19424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A类</w:t>
            </w:r>
          </w:p>
        </w:tc>
        <w:tc>
          <w:tcPr>
            <w:tcW w:w="1134" w:type="dxa"/>
            <w:noWrap w:val="0"/>
            <w:vAlign w:val="center"/>
          </w:tcPr>
          <w:p w14:paraId="4ADF9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B类</w:t>
            </w:r>
          </w:p>
        </w:tc>
        <w:tc>
          <w:tcPr>
            <w:tcW w:w="1134" w:type="dxa"/>
            <w:noWrap w:val="0"/>
            <w:vAlign w:val="center"/>
          </w:tcPr>
          <w:p w14:paraId="56FA2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C类</w:t>
            </w:r>
          </w:p>
        </w:tc>
        <w:tc>
          <w:tcPr>
            <w:tcW w:w="1134" w:type="dxa"/>
            <w:noWrap w:val="0"/>
            <w:vAlign w:val="center"/>
          </w:tcPr>
          <w:p w14:paraId="7DB10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D类</w:t>
            </w:r>
          </w:p>
        </w:tc>
        <w:tc>
          <w:tcPr>
            <w:tcW w:w="1134" w:type="dxa"/>
            <w:noWrap w:val="0"/>
            <w:vAlign w:val="center"/>
          </w:tcPr>
          <w:p w14:paraId="4D75B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E类</w:t>
            </w:r>
          </w:p>
        </w:tc>
      </w:tr>
      <w:tr w14:paraId="20FA9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001" w:type="dxa"/>
            <w:noWrap w:val="0"/>
            <w:vAlign w:val="center"/>
          </w:tcPr>
          <w:p w14:paraId="2B7C7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名额</w:t>
            </w:r>
          </w:p>
        </w:tc>
        <w:tc>
          <w:tcPr>
            <w:tcW w:w="1387" w:type="dxa"/>
            <w:noWrap w:val="0"/>
            <w:vAlign w:val="center"/>
          </w:tcPr>
          <w:p w14:paraId="25BD3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5个</w:t>
            </w:r>
          </w:p>
        </w:tc>
        <w:tc>
          <w:tcPr>
            <w:tcW w:w="1134" w:type="dxa"/>
            <w:noWrap w:val="0"/>
            <w:vAlign w:val="center"/>
          </w:tcPr>
          <w:p w14:paraId="33EF5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4个</w:t>
            </w:r>
          </w:p>
        </w:tc>
        <w:tc>
          <w:tcPr>
            <w:tcW w:w="1134" w:type="dxa"/>
            <w:noWrap w:val="0"/>
            <w:vAlign w:val="center"/>
          </w:tcPr>
          <w:p w14:paraId="32E63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3个</w:t>
            </w:r>
          </w:p>
        </w:tc>
        <w:tc>
          <w:tcPr>
            <w:tcW w:w="1134" w:type="dxa"/>
            <w:noWrap w:val="0"/>
            <w:vAlign w:val="center"/>
          </w:tcPr>
          <w:p w14:paraId="1D6F8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2个</w:t>
            </w:r>
          </w:p>
        </w:tc>
        <w:tc>
          <w:tcPr>
            <w:tcW w:w="1134" w:type="dxa"/>
            <w:noWrap w:val="0"/>
            <w:vAlign w:val="center"/>
          </w:tcPr>
          <w:p w14:paraId="3D9F3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1个</w:t>
            </w:r>
          </w:p>
        </w:tc>
        <w:tc>
          <w:tcPr>
            <w:tcW w:w="1134" w:type="dxa"/>
            <w:noWrap w:val="0"/>
            <w:vAlign w:val="center"/>
          </w:tcPr>
          <w:p w14:paraId="45D78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1个</w:t>
            </w:r>
          </w:p>
        </w:tc>
      </w:tr>
      <w:tr w14:paraId="04458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noWrap w:val="0"/>
            <w:vAlign w:val="center"/>
          </w:tcPr>
          <w:p w14:paraId="5E7E1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金额</w:t>
            </w:r>
          </w:p>
          <w:p w14:paraId="271C5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（单位：元）</w:t>
            </w:r>
          </w:p>
        </w:tc>
        <w:tc>
          <w:tcPr>
            <w:tcW w:w="1387" w:type="dxa"/>
            <w:noWrap w:val="0"/>
            <w:vAlign w:val="center"/>
          </w:tcPr>
          <w:p w14:paraId="56759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15000</w:t>
            </w:r>
          </w:p>
        </w:tc>
        <w:tc>
          <w:tcPr>
            <w:tcW w:w="1134" w:type="dxa"/>
            <w:noWrap w:val="0"/>
            <w:vAlign w:val="center"/>
          </w:tcPr>
          <w:p w14:paraId="1DCA8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12000</w:t>
            </w:r>
          </w:p>
        </w:tc>
        <w:tc>
          <w:tcPr>
            <w:tcW w:w="1134" w:type="dxa"/>
            <w:noWrap w:val="0"/>
            <w:vAlign w:val="center"/>
          </w:tcPr>
          <w:p w14:paraId="601A8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9000</w:t>
            </w:r>
          </w:p>
        </w:tc>
        <w:tc>
          <w:tcPr>
            <w:tcW w:w="1134" w:type="dxa"/>
            <w:noWrap w:val="0"/>
            <w:vAlign w:val="center"/>
          </w:tcPr>
          <w:p w14:paraId="5BDDF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6000</w:t>
            </w:r>
          </w:p>
        </w:tc>
        <w:tc>
          <w:tcPr>
            <w:tcW w:w="1134" w:type="dxa"/>
            <w:noWrap w:val="0"/>
            <w:vAlign w:val="center"/>
          </w:tcPr>
          <w:p w14:paraId="4DADE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3000</w:t>
            </w:r>
          </w:p>
        </w:tc>
        <w:tc>
          <w:tcPr>
            <w:tcW w:w="1134" w:type="dxa"/>
            <w:noWrap w:val="0"/>
            <w:vAlign w:val="center"/>
          </w:tcPr>
          <w:p w14:paraId="1DC1E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3000</w:t>
            </w:r>
          </w:p>
        </w:tc>
      </w:tr>
    </w:tbl>
    <w:p w14:paraId="01C58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服务补助。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应邀开展教学科研、技术指导、人才培养等服务活动的专家人才，提供必要的工作和生活条件，除按规定享受课时补贴外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按照用人单位所在地差旅费标准安排交通食宿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或相应补贴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，由邀请单位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和用人单位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负责。</w:t>
      </w:r>
    </w:p>
    <w:p w14:paraId="60563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人才对接交流补助。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对受邀参加应聘求职，实习实训实践等人才交流活动的大学生给予交通补贴、安排食宿、人身意外保险、实践补贴，由邀请单位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和用人单位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负责。对参加人才、人社部门招才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引智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活动的企业，由组织方统一保障交通食宿或给予相应补贴。对年度绩效评价为优秀等次的大学生就业见习实习单位，给予1万元奖励，优秀等次不超过年度实习单位50%。</w:t>
      </w:r>
    </w:p>
    <w:tbl>
      <w:tblPr>
        <w:tblStyle w:val="15"/>
        <w:tblpPr w:leftFromText="180" w:rightFromText="180" w:vertAnchor="text" w:horzAnchor="margin" w:tblpXSpec="center" w:tblpY="172"/>
        <w:tblW w:w="9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2"/>
        <w:gridCol w:w="1150"/>
        <w:gridCol w:w="3519"/>
        <w:gridCol w:w="2638"/>
      </w:tblGrid>
      <w:tr w14:paraId="2F8CA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2" w:type="dxa"/>
            <w:noWrap w:val="0"/>
            <w:vAlign w:val="center"/>
          </w:tcPr>
          <w:p w14:paraId="3AABE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黑体" w:cs="黑体"/>
                <w:sz w:val="28"/>
                <w:szCs w:val="28"/>
              </w:rPr>
            </w:pPr>
            <w:r>
              <w:rPr>
                <w:rFonts w:hint="eastAsia" w:ascii="仿宋_GB2312" w:hAnsi="仿宋_GB2312" w:eastAsia="黑体" w:cs="黑体"/>
                <w:sz w:val="28"/>
                <w:szCs w:val="28"/>
              </w:rPr>
              <w:t>交流类别</w:t>
            </w:r>
          </w:p>
        </w:tc>
        <w:tc>
          <w:tcPr>
            <w:tcW w:w="1150" w:type="dxa"/>
            <w:noWrap w:val="0"/>
            <w:vAlign w:val="center"/>
          </w:tcPr>
          <w:p w14:paraId="15176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黑体" w:cs="黑体"/>
                <w:sz w:val="28"/>
                <w:szCs w:val="28"/>
              </w:rPr>
            </w:pPr>
            <w:r>
              <w:rPr>
                <w:rFonts w:hint="eastAsia" w:ascii="仿宋_GB2312" w:hAnsi="仿宋_GB2312" w:eastAsia="黑体" w:cs="黑体"/>
                <w:sz w:val="28"/>
                <w:szCs w:val="28"/>
              </w:rPr>
              <w:t>补贴</w:t>
            </w:r>
          </w:p>
          <w:p w14:paraId="1B897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黑体" w:cs="黑体"/>
                <w:sz w:val="28"/>
                <w:szCs w:val="28"/>
              </w:rPr>
            </w:pPr>
            <w:r>
              <w:rPr>
                <w:rFonts w:hint="eastAsia" w:ascii="仿宋_GB2312" w:hAnsi="仿宋_GB2312" w:eastAsia="黑体" w:cs="黑体"/>
                <w:sz w:val="28"/>
                <w:szCs w:val="28"/>
              </w:rPr>
              <w:t>对象</w:t>
            </w:r>
          </w:p>
        </w:tc>
        <w:tc>
          <w:tcPr>
            <w:tcW w:w="3519" w:type="dxa"/>
            <w:noWrap w:val="0"/>
            <w:vAlign w:val="center"/>
          </w:tcPr>
          <w:p w14:paraId="70C07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黑体" w:cs="黑体"/>
                <w:sz w:val="28"/>
                <w:szCs w:val="28"/>
              </w:rPr>
            </w:pPr>
            <w:r>
              <w:rPr>
                <w:rFonts w:hint="eastAsia" w:ascii="仿宋_GB2312" w:hAnsi="仿宋_GB2312" w:eastAsia="黑体" w:cs="黑体"/>
                <w:sz w:val="28"/>
                <w:szCs w:val="28"/>
              </w:rPr>
              <w:t>交通、食宿、保险补贴</w:t>
            </w:r>
          </w:p>
        </w:tc>
        <w:tc>
          <w:tcPr>
            <w:tcW w:w="2638" w:type="dxa"/>
            <w:noWrap w:val="0"/>
            <w:vAlign w:val="center"/>
          </w:tcPr>
          <w:p w14:paraId="7AA84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黑体" w:cs="黑体"/>
                <w:sz w:val="28"/>
                <w:szCs w:val="28"/>
              </w:rPr>
            </w:pPr>
            <w:r>
              <w:rPr>
                <w:rFonts w:hint="eastAsia" w:ascii="仿宋_GB2312" w:hAnsi="仿宋_GB2312" w:eastAsia="黑体" w:cs="黑体"/>
                <w:sz w:val="28"/>
                <w:szCs w:val="28"/>
              </w:rPr>
              <w:t>实习实训补贴</w:t>
            </w:r>
          </w:p>
        </w:tc>
      </w:tr>
      <w:tr w14:paraId="54988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2402" w:type="dxa"/>
            <w:noWrap w:val="0"/>
            <w:vAlign w:val="center"/>
          </w:tcPr>
          <w:p w14:paraId="025E7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应聘求职</w:t>
            </w:r>
          </w:p>
          <w:p w14:paraId="1AE5C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（7天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以内）</w:t>
            </w:r>
          </w:p>
        </w:tc>
        <w:tc>
          <w:tcPr>
            <w:tcW w:w="1150" w:type="dxa"/>
            <w:vMerge w:val="restart"/>
            <w:noWrap w:val="0"/>
            <w:vAlign w:val="center"/>
          </w:tcPr>
          <w:p w14:paraId="79C00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大学生</w:t>
            </w:r>
          </w:p>
        </w:tc>
        <w:tc>
          <w:tcPr>
            <w:tcW w:w="3519" w:type="dxa"/>
            <w:vMerge w:val="restart"/>
            <w:noWrap w:val="0"/>
            <w:vAlign w:val="center"/>
          </w:tcPr>
          <w:p w14:paraId="2B827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给予1500元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城际交通补贴（按家或学校往返清流火车二等座标准），并按每人每天200元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标准安排食宿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或补贴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以及人身意外伤害保险补贴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2638" w:type="dxa"/>
            <w:vMerge w:val="restart"/>
            <w:noWrap w:val="0"/>
            <w:vAlign w:val="center"/>
          </w:tcPr>
          <w:p w14:paraId="213D7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20A4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2" w:type="dxa"/>
            <w:noWrap w:val="0"/>
            <w:vAlign w:val="center"/>
          </w:tcPr>
          <w:p w14:paraId="0127F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短期</w:t>
            </w:r>
          </w:p>
          <w:p w14:paraId="230F4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（1个月及以下）</w:t>
            </w:r>
          </w:p>
        </w:tc>
        <w:tc>
          <w:tcPr>
            <w:tcW w:w="1150" w:type="dxa"/>
            <w:vMerge w:val="continue"/>
            <w:noWrap w:val="0"/>
            <w:vAlign w:val="center"/>
          </w:tcPr>
          <w:p w14:paraId="59C45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19" w:type="dxa"/>
            <w:vMerge w:val="continue"/>
            <w:noWrap w:val="0"/>
            <w:vAlign w:val="center"/>
          </w:tcPr>
          <w:p w14:paraId="63FDC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38" w:type="dxa"/>
            <w:vMerge w:val="continue"/>
            <w:noWrap w:val="0"/>
            <w:vAlign w:val="center"/>
          </w:tcPr>
          <w:p w14:paraId="65F1E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3352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2" w:type="dxa"/>
            <w:noWrap w:val="0"/>
            <w:vAlign w:val="center"/>
          </w:tcPr>
          <w:p w14:paraId="083E2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长期</w:t>
            </w:r>
          </w:p>
          <w:p w14:paraId="3E525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（1个月以上）</w:t>
            </w:r>
          </w:p>
        </w:tc>
        <w:tc>
          <w:tcPr>
            <w:tcW w:w="1150" w:type="dxa"/>
            <w:vMerge w:val="continue"/>
            <w:noWrap w:val="0"/>
            <w:vAlign w:val="center"/>
          </w:tcPr>
          <w:p w14:paraId="01BF1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19" w:type="dxa"/>
            <w:noWrap w:val="0"/>
            <w:vAlign w:val="center"/>
          </w:tcPr>
          <w:p w14:paraId="20553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给予1500元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交通补贴（按家或学校往返清流火车二等座标准）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以及人身意外伤害保险补贴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2638" w:type="dxa"/>
            <w:noWrap w:val="0"/>
            <w:vAlign w:val="center"/>
          </w:tcPr>
          <w:p w14:paraId="47526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按照每人每月1000元标准，给予接收企业最长12个月的实践补贴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</w:tc>
      </w:tr>
    </w:tbl>
    <w:p w14:paraId="201A2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楷体_GB2312" w:cs="楷体_GB2312"/>
          <w:color w:val="auto"/>
          <w:sz w:val="32"/>
          <w:szCs w:val="32"/>
        </w:rPr>
        <w:t>第</w:t>
      </w:r>
      <w:r>
        <w:rPr>
          <w:rFonts w:hint="eastAsia" w:ascii="仿宋_GB2312" w:hAnsi="仿宋_GB2312" w:eastAsia="楷体_GB2312" w:cs="楷体_GB2312"/>
          <w:color w:val="auto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楷体_GB2312" w:cs="楷体_GB2312"/>
          <w:color w:val="auto"/>
          <w:sz w:val="32"/>
          <w:szCs w:val="32"/>
        </w:rPr>
        <w:t>条</w:t>
      </w:r>
      <w:r>
        <w:rPr>
          <w:rFonts w:hint="eastAsia" w:ascii="仿宋_GB2312" w:hAnsi="仿宋_GB2312" w:eastAsia="楷体_GB2312" w:cs="楷体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企业人才</w:t>
      </w:r>
    </w:p>
    <w:p w14:paraId="377F9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加大创业发展支持力度。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入选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</w:t>
      </w:r>
      <w:r>
        <w:rPr>
          <w:rFonts w:hint="eastAsia" w:ascii="仿宋_GB2312" w:hAnsi="仿宋_GB2312" w:eastAsia="仿宋_GB2312" w:cs="仿宋_GB2312"/>
          <w:sz w:val="32"/>
          <w:szCs w:val="32"/>
        </w:rPr>
        <w:t>省市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重大</w:t>
      </w:r>
      <w:r>
        <w:rPr>
          <w:rFonts w:hint="eastAsia" w:ascii="仿宋_GB2312" w:hAnsi="仿宋_GB2312" w:eastAsia="仿宋_GB2312" w:cs="仿宋_GB2312"/>
          <w:sz w:val="32"/>
          <w:szCs w:val="32"/>
        </w:rPr>
        <w:t>人才项目或经认定的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省级高层次</w:t>
      </w:r>
      <w:r>
        <w:rPr>
          <w:rFonts w:hint="eastAsia" w:ascii="仿宋_GB2312" w:hAnsi="仿宋_GB2312" w:eastAsia="仿宋_GB2312" w:cs="仿宋_GB2312"/>
          <w:sz w:val="32"/>
          <w:szCs w:val="32"/>
        </w:rPr>
        <w:t>人才来清就业创业，根据实际需要提供3年免租创业场所或相应租金补贴。主营业务收入达到1000万元以上的，按3年内新购设备投入的15%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新发生研发投入的10%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新增产业化空间租金，给予最高500万元创业资助。</w:t>
      </w:r>
    </w:p>
    <w:p w14:paraId="1A765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（二）人才项目配套奖励。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成功入选国家“万人计划”、省引才“百人计划”、省“雏鹰计划”青年拔尖人才、省“双创之星”的，按照省级经费支持的10%给予企业一次性配套奖励（上级经费发放到位后）。对新引进的、能实现重大产业突破、带动产业结构调整或产生重大经济效益的特级人才（高层次人才或团队），按“一事一议”原则给予综合支持。</w:t>
      </w:r>
    </w:p>
    <w:p w14:paraId="7AD4A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引才奖励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人才、招商部门聘请的招才引资大使等各类人才，为清流县重点企业引进大专及以上人才，稳定就业半年以上，按引进1人500元标准，给予奖励，引进到氟新材料产业重点企业就业的，按引进1人1000元标准，给予奖励；引进氟新材料产业企业落地投产的，按引进1家1万元标准。对清流职中“3+2”大专及以上等学生毕业后到清流氟新材料产业重点企业就业的，按引进1人1000元标准，给予清流职中奖励。引才奖励每年总额不超30万元。</w:t>
      </w:r>
    </w:p>
    <w:p w14:paraId="0A1E1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对引进的顶尖人才、团队和重大项目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可采取“一事一议、一人一策”方式给予特殊支持。</w:t>
      </w:r>
    </w:p>
    <w:p w14:paraId="0AE66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楷体_GB2312" w:cs="楷体_GB2312"/>
          <w:color w:val="auto"/>
          <w:sz w:val="32"/>
          <w:szCs w:val="32"/>
        </w:rPr>
        <w:t>第</w:t>
      </w:r>
      <w:r>
        <w:rPr>
          <w:rFonts w:hint="eastAsia" w:ascii="仿宋_GB2312" w:hAnsi="仿宋_GB2312" w:eastAsia="楷体_GB2312" w:cs="楷体_GB2312"/>
          <w:color w:val="auto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楷体_GB2312" w:cs="楷体_GB2312"/>
          <w:color w:val="auto"/>
          <w:sz w:val="32"/>
          <w:szCs w:val="32"/>
        </w:rPr>
        <w:t>条</w:t>
      </w:r>
      <w:r>
        <w:rPr>
          <w:rFonts w:hint="eastAsia" w:ascii="仿宋_GB2312" w:hAnsi="仿宋_GB2312" w:eastAsia="楷体_GB2312" w:cs="楷体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教育人才</w:t>
      </w:r>
    </w:p>
    <w:p w14:paraId="54F3B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对柔性引进的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名师工作室给予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补助。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正高级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特级）教师1000元/课时，副高级教师500元/课时；来清期间的交通、食宿由结对学校安排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县教育局根据名师工作室协议内容以及学科建设成效予以配套。</w:t>
      </w:r>
    </w:p>
    <w:p w14:paraId="64715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楷体_GB2312" w:cs="楷体_GB2312"/>
          <w:color w:val="auto"/>
          <w:sz w:val="32"/>
          <w:szCs w:val="32"/>
        </w:rPr>
        <w:t>第</w:t>
      </w:r>
      <w:r>
        <w:rPr>
          <w:rFonts w:hint="eastAsia" w:ascii="仿宋_GB2312" w:hAnsi="仿宋_GB2312" w:eastAsia="楷体_GB2312" w:cs="楷体_GB2312"/>
          <w:color w:val="auto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楷体_GB2312" w:cs="楷体_GB2312"/>
          <w:color w:val="auto"/>
          <w:sz w:val="32"/>
          <w:szCs w:val="32"/>
        </w:rPr>
        <w:t>条</w:t>
      </w:r>
      <w:r>
        <w:rPr>
          <w:rFonts w:hint="eastAsia" w:ascii="仿宋_GB2312" w:hAnsi="仿宋_GB2312" w:eastAsia="楷体_GB2312" w:cs="楷体_GB2312"/>
          <w:color w:val="auto"/>
          <w:sz w:val="32"/>
          <w:szCs w:val="32"/>
          <w:lang w:val="en-US" w:eastAsia="zh-CN"/>
        </w:rPr>
        <w:t xml:space="preserve">  医疗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人才</w:t>
      </w:r>
    </w:p>
    <w:p w14:paraId="6D5EE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方正仿宋_GB2312" w:cs="方正仿宋_GB2312"/>
          <w:color w:val="auto"/>
          <w:kern w:val="0"/>
          <w:sz w:val="32"/>
          <w:szCs w:val="32"/>
          <w:lang w:val="en-US"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（一）对柔性引进的名医工作室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给予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补助。</w:t>
      </w:r>
      <w:r>
        <w:rPr>
          <w:rFonts w:hint="eastAsia" w:ascii="仿宋_GB2312" w:hAnsi="仿宋_GB2312" w:eastAsia="方正仿宋_GB2312" w:cs="方正仿宋_GB2312"/>
          <w:color w:val="auto"/>
          <w:kern w:val="0"/>
          <w:sz w:val="32"/>
          <w:szCs w:val="32"/>
          <w:lang w:val="en-US" w:eastAsia="zh-CN" w:bidi="ar"/>
        </w:rPr>
        <w:t>省域外</w:t>
      </w:r>
      <w:r>
        <w:rPr>
          <w:rFonts w:hint="eastAsia" w:ascii="仿宋_GB2312" w:hAnsi="仿宋_GB2312" w:eastAsia="方正仿宋_GB2312" w:cs="方正仿宋_GB2312"/>
          <w:color w:val="auto"/>
          <w:kern w:val="0"/>
          <w:sz w:val="32"/>
          <w:szCs w:val="32"/>
          <w:lang w:bidi="ar"/>
        </w:rPr>
        <w:t>主任医师</w:t>
      </w:r>
      <w:r>
        <w:rPr>
          <w:rFonts w:hint="eastAsia" w:ascii="仿宋_GB2312" w:hAnsi="仿宋_GB2312" w:eastAsia="方正仿宋_GB2312" w:cs="方正仿宋_GB2312"/>
          <w:color w:val="auto"/>
          <w:kern w:val="0"/>
          <w:sz w:val="32"/>
          <w:szCs w:val="32"/>
          <w:lang w:val="en-US" w:eastAsia="zh-CN" w:bidi="ar"/>
        </w:rPr>
        <w:t>50</w:t>
      </w:r>
      <w:r>
        <w:rPr>
          <w:rFonts w:hint="eastAsia" w:ascii="仿宋_GB2312" w:hAnsi="仿宋_GB2312" w:eastAsia="方正仿宋_GB2312" w:cs="方正仿宋_GB2312"/>
          <w:color w:val="auto"/>
          <w:kern w:val="0"/>
          <w:sz w:val="32"/>
          <w:szCs w:val="32"/>
          <w:lang w:bidi="ar"/>
        </w:rPr>
        <w:t>00元/日，副主任医师</w:t>
      </w:r>
      <w:r>
        <w:rPr>
          <w:rFonts w:hint="eastAsia" w:ascii="仿宋_GB2312" w:hAnsi="仿宋_GB2312" w:eastAsia="方正仿宋_GB2312" w:cs="方正仿宋_GB2312"/>
          <w:color w:val="auto"/>
          <w:kern w:val="0"/>
          <w:sz w:val="32"/>
          <w:szCs w:val="32"/>
          <w:lang w:val="en-US" w:eastAsia="zh-CN" w:bidi="ar"/>
        </w:rPr>
        <w:t>4500</w:t>
      </w:r>
      <w:r>
        <w:rPr>
          <w:rFonts w:hint="eastAsia" w:ascii="仿宋_GB2312" w:hAnsi="仿宋_GB2312" w:eastAsia="方正仿宋_GB2312" w:cs="方正仿宋_GB2312"/>
          <w:color w:val="auto"/>
          <w:kern w:val="0"/>
          <w:sz w:val="32"/>
          <w:szCs w:val="32"/>
          <w:lang w:bidi="ar"/>
        </w:rPr>
        <w:t>元/日</w:t>
      </w:r>
      <w:r>
        <w:rPr>
          <w:rFonts w:hint="eastAsia" w:ascii="仿宋_GB2312" w:hAnsi="仿宋_GB2312" w:eastAsia="方正仿宋_GB2312" w:cs="方正仿宋_GB2312"/>
          <w:color w:val="auto"/>
          <w:kern w:val="0"/>
          <w:sz w:val="32"/>
          <w:szCs w:val="32"/>
          <w:lang w:val="en-US" w:eastAsia="zh-CN" w:bidi="ar"/>
        </w:rPr>
        <w:t>；省内</w:t>
      </w:r>
      <w:r>
        <w:rPr>
          <w:rFonts w:hint="eastAsia" w:ascii="仿宋_GB2312" w:hAnsi="仿宋_GB2312" w:eastAsia="方正仿宋_GB2312" w:cs="方正仿宋_GB2312"/>
          <w:color w:val="auto"/>
          <w:kern w:val="0"/>
          <w:sz w:val="32"/>
          <w:szCs w:val="32"/>
          <w:lang w:bidi="ar"/>
        </w:rPr>
        <w:t>主任医师3</w:t>
      </w:r>
      <w:r>
        <w:rPr>
          <w:rFonts w:hint="eastAsia" w:ascii="仿宋_GB2312" w:hAnsi="仿宋_GB2312" w:eastAsia="方正仿宋_GB2312" w:cs="方正仿宋_GB2312"/>
          <w:color w:val="auto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_GB2312" w:eastAsia="方正仿宋_GB2312" w:cs="方正仿宋_GB2312"/>
          <w:color w:val="auto"/>
          <w:kern w:val="0"/>
          <w:sz w:val="32"/>
          <w:szCs w:val="32"/>
          <w:lang w:bidi="ar"/>
        </w:rPr>
        <w:t>00元/日，副主任医师</w:t>
      </w:r>
      <w:r>
        <w:rPr>
          <w:rFonts w:hint="eastAsia" w:ascii="仿宋_GB2312" w:hAnsi="仿宋_GB2312" w:eastAsia="方正仿宋_GB2312" w:cs="方正仿宋_GB2312"/>
          <w:color w:val="auto"/>
          <w:kern w:val="0"/>
          <w:sz w:val="32"/>
          <w:szCs w:val="32"/>
          <w:lang w:val="en-US" w:eastAsia="zh-CN" w:bidi="ar"/>
        </w:rPr>
        <w:t>3000</w:t>
      </w:r>
      <w:r>
        <w:rPr>
          <w:rFonts w:hint="eastAsia" w:ascii="仿宋_GB2312" w:hAnsi="仿宋_GB2312" w:eastAsia="方正仿宋_GB2312" w:cs="方正仿宋_GB2312"/>
          <w:color w:val="auto"/>
          <w:kern w:val="0"/>
          <w:sz w:val="32"/>
          <w:szCs w:val="32"/>
          <w:lang w:bidi="ar"/>
        </w:rPr>
        <w:t>元/日；另外根据手术的难易和风险程度及手术时间</w:t>
      </w:r>
      <w:r>
        <w:rPr>
          <w:rFonts w:hint="eastAsia" w:ascii="仿宋_GB2312" w:hAnsi="仿宋_GB2312" w:eastAsia="方正仿宋_GB2312" w:cs="方正仿宋_GB2312"/>
          <w:color w:val="auto"/>
          <w:kern w:val="0"/>
          <w:sz w:val="32"/>
          <w:szCs w:val="32"/>
          <w:lang w:val="en-US" w:eastAsia="zh-CN" w:bidi="ar"/>
        </w:rPr>
        <w:t>给予手术</w:t>
      </w:r>
      <w:r>
        <w:rPr>
          <w:rFonts w:hint="eastAsia" w:ascii="仿宋_GB2312" w:hAnsi="仿宋_GB2312" w:eastAsia="方正仿宋_GB2312" w:cs="方正仿宋_GB2312"/>
          <w:color w:val="auto"/>
          <w:kern w:val="0"/>
          <w:sz w:val="32"/>
          <w:szCs w:val="32"/>
          <w:lang w:bidi="ar"/>
        </w:rPr>
        <w:t>补助</w:t>
      </w:r>
      <w:r>
        <w:rPr>
          <w:rFonts w:hint="eastAsia" w:ascii="仿宋_GB2312" w:hAnsi="仿宋_GB2312" w:eastAsia="方正仿宋_GB2312" w:cs="方正仿宋_GB2312"/>
          <w:color w:val="auto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方正仿宋_GB2312" w:cs="方正仿宋_GB2312"/>
          <w:color w:val="auto"/>
          <w:kern w:val="0"/>
          <w:sz w:val="32"/>
          <w:szCs w:val="32"/>
          <w:lang w:bidi="ar"/>
        </w:rPr>
        <w:t>Ⅲ级手术300</w:t>
      </w:r>
      <w:r>
        <w:rPr>
          <w:rFonts w:hint="eastAsia" w:ascii="仿宋_GB2312" w:hAnsi="仿宋_GB2312" w:eastAsia="方正仿宋_GB2312" w:cs="方正仿宋_GB2312"/>
          <w:color w:val="auto"/>
          <w:kern w:val="0"/>
          <w:sz w:val="32"/>
          <w:szCs w:val="32"/>
          <w:lang w:val="en-US" w:eastAsia="zh-CN" w:bidi="ar"/>
        </w:rPr>
        <w:t>-</w:t>
      </w:r>
      <w:r>
        <w:rPr>
          <w:rFonts w:hint="eastAsia" w:ascii="仿宋_GB2312" w:hAnsi="仿宋_GB2312" w:eastAsia="方正仿宋_GB2312" w:cs="方正仿宋_GB2312"/>
          <w:color w:val="auto"/>
          <w:kern w:val="0"/>
          <w:sz w:val="32"/>
          <w:szCs w:val="32"/>
          <w:lang w:bidi="ar"/>
        </w:rPr>
        <w:t>800元/台</w:t>
      </w:r>
      <w:r>
        <w:rPr>
          <w:rFonts w:hint="eastAsia" w:ascii="仿宋_GB2312" w:hAnsi="仿宋_GB2312" w:eastAsia="方正仿宋_GB2312" w:cs="方正仿宋_GB2312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方正仿宋_GB2312" w:cs="方正仿宋_GB2312"/>
          <w:color w:val="auto"/>
          <w:kern w:val="0"/>
          <w:sz w:val="32"/>
          <w:szCs w:val="32"/>
          <w:lang w:bidi="ar"/>
        </w:rPr>
        <w:t>每台Ⅳ级手术补助</w:t>
      </w:r>
      <w:r>
        <w:rPr>
          <w:rFonts w:hint="eastAsia" w:ascii="仿宋_GB2312" w:hAnsi="仿宋_GB2312" w:eastAsia="方正仿宋_GB2312" w:cs="方正仿宋_GB2312"/>
          <w:color w:val="auto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_GB2312" w:eastAsia="方正仿宋_GB2312" w:cs="方正仿宋_GB2312"/>
          <w:color w:val="auto"/>
          <w:kern w:val="0"/>
          <w:sz w:val="32"/>
          <w:szCs w:val="32"/>
          <w:lang w:bidi="ar"/>
        </w:rPr>
        <w:t>00</w:t>
      </w:r>
      <w:r>
        <w:rPr>
          <w:rFonts w:hint="eastAsia" w:ascii="仿宋_GB2312" w:hAnsi="仿宋_GB2312" w:eastAsia="方正仿宋_GB2312" w:cs="方正仿宋_GB2312"/>
          <w:color w:val="auto"/>
          <w:kern w:val="0"/>
          <w:sz w:val="32"/>
          <w:szCs w:val="32"/>
          <w:lang w:val="en-US" w:eastAsia="zh-CN" w:bidi="ar"/>
        </w:rPr>
        <w:t>-</w:t>
      </w:r>
      <w:r>
        <w:rPr>
          <w:rFonts w:hint="eastAsia" w:ascii="仿宋_GB2312" w:hAnsi="仿宋_GB2312" w:eastAsia="方正仿宋_GB2312" w:cs="方正仿宋_GB2312"/>
          <w:color w:val="auto"/>
          <w:kern w:val="0"/>
          <w:sz w:val="32"/>
          <w:szCs w:val="32"/>
          <w:lang w:bidi="ar"/>
        </w:rPr>
        <w:t>1500元/</w:t>
      </w:r>
      <w:r>
        <w:rPr>
          <w:rFonts w:hint="eastAsia" w:ascii="仿宋_GB2312" w:hAnsi="仿宋_GB2312" w:eastAsia="方正仿宋_GB2312" w:cs="方正仿宋_GB2312"/>
          <w:color w:val="auto"/>
          <w:kern w:val="0"/>
          <w:sz w:val="32"/>
          <w:szCs w:val="32"/>
          <w:lang w:val="en-US" w:eastAsia="zh-CN" w:bidi="ar"/>
        </w:rPr>
        <w:t>台。</w:t>
      </w:r>
    </w:p>
    <w:p w14:paraId="5C3CF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（二）科研项目奖励。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用人单位名义成功申请并主持国家、省、市医学课题项目的人才，可获得一次性奖励30、10、5万元，并根据项目进展和成果情况，配套科研经费支持。指导用人单位开展新技术新项目，获评国家、省、市新技术新项目的，一次性奖励2、1、0.5万元，并配套科研经费支持。</w:t>
      </w:r>
    </w:p>
    <w:p w14:paraId="65C6F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7730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eastAsia="黑体" w:cs="黑体"/>
          <w:sz w:val="32"/>
          <w:szCs w:val="32"/>
        </w:rPr>
      </w:pPr>
      <w:r>
        <w:rPr>
          <w:rFonts w:hint="eastAsia" w:ascii="仿宋_GB2312" w:hAnsi="仿宋_GB2312" w:eastAsia="黑体" w:cs="黑体"/>
          <w:sz w:val="32"/>
          <w:szCs w:val="32"/>
        </w:rPr>
        <w:t>第四章    管理及保障</w:t>
      </w:r>
    </w:p>
    <w:p w14:paraId="1DA63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2376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楷体_GB2312"/>
          <w:sz w:val="32"/>
          <w:szCs w:val="32"/>
          <w:lang w:eastAsia="zh-CN"/>
        </w:rPr>
      </w:pPr>
      <w:r>
        <w:rPr>
          <w:rFonts w:hint="eastAsia" w:ascii="仿宋_GB2312" w:hAnsi="仿宋_GB2312" w:eastAsia="楷体_GB2312" w:cs="楷体_GB2312"/>
          <w:color w:val="auto"/>
          <w:sz w:val="32"/>
          <w:szCs w:val="32"/>
        </w:rPr>
        <w:t>第十条</w:t>
      </w:r>
      <w:r>
        <w:rPr>
          <w:rFonts w:hint="eastAsia" w:ascii="仿宋_GB2312" w:hAnsi="仿宋_GB2312" w:eastAsia="楷体_GB2312" w:cs="楷体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县民社</w:t>
      </w:r>
      <w:r>
        <w:rPr>
          <w:rFonts w:hint="eastAsia" w:ascii="仿宋_GB2312" w:hAnsi="仿宋_GB2312" w:eastAsia="仿宋_GB2312" w:cs="仿宋_GB2312"/>
          <w:sz w:val="32"/>
          <w:szCs w:val="32"/>
        </w:rPr>
        <w:t>局负责柔性引进人才的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认定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补助发放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A982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楷体_GB2312" w:cs="楷体_GB2312"/>
          <w:sz w:val="32"/>
          <w:szCs w:val="32"/>
        </w:rPr>
        <w:t>第</w:t>
      </w:r>
      <w:r>
        <w:rPr>
          <w:rFonts w:hint="eastAsia" w:ascii="仿宋_GB2312" w:hAnsi="仿宋_GB2312" w:eastAsia="楷体_GB2312" w:cs="楷体_GB2312"/>
          <w:sz w:val="32"/>
          <w:szCs w:val="32"/>
          <w:lang w:val="en-US" w:eastAsia="zh-CN"/>
        </w:rPr>
        <w:t>十一</w:t>
      </w:r>
      <w:r>
        <w:rPr>
          <w:rFonts w:hint="eastAsia" w:ascii="仿宋_GB2312" w:hAnsi="仿宋_GB2312" w:eastAsia="楷体_GB2312" w:cs="楷体_GB2312"/>
          <w:sz w:val="32"/>
          <w:szCs w:val="32"/>
        </w:rPr>
        <w:t xml:space="preserve">条  </w:t>
      </w:r>
      <w:r>
        <w:rPr>
          <w:rFonts w:hint="eastAsia" w:ascii="仿宋_GB2312" w:hAnsi="仿宋_GB2312" w:eastAsia="仿宋_GB2312" w:cs="仿宋_GB2312"/>
          <w:sz w:val="32"/>
          <w:szCs w:val="32"/>
        </w:rPr>
        <w:t>本实施细则所指的用人单位是指清流县范围内企事业单位（含民办非企业单位等），一般具备下列基本条件：用人单位注册地在清流县行政区域内；具有独立法人资格，经营或运行状况良好；有明确的智力、技术、项目合作需求和具体的合作事项；能够为柔性引进的人才提供良好的经费、平台、团队保障等。</w:t>
      </w:r>
    </w:p>
    <w:p w14:paraId="1B750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eastAsia" w:ascii="仿宋_GB2312" w:hAnsi="仿宋_GB2312" w:eastAsia="楷体_GB2312" w:cs="楷体_GB2312"/>
          <w:sz w:val="32"/>
          <w:szCs w:val="32"/>
        </w:rPr>
      </w:pPr>
      <w:r>
        <w:rPr>
          <w:rFonts w:hint="eastAsia" w:ascii="仿宋_GB2312" w:hAnsi="仿宋_GB2312" w:eastAsia="楷体_GB2312" w:cs="楷体_GB2312"/>
          <w:sz w:val="32"/>
          <w:szCs w:val="32"/>
        </w:rPr>
        <w:t>第</w:t>
      </w:r>
      <w:r>
        <w:rPr>
          <w:rFonts w:hint="eastAsia" w:ascii="仿宋_GB2312" w:hAnsi="仿宋_GB2312" w:eastAsia="楷体_GB2312" w:cs="楷体_GB2312"/>
          <w:sz w:val="32"/>
          <w:szCs w:val="32"/>
          <w:lang w:val="en-US" w:eastAsia="zh-CN"/>
        </w:rPr>
        <w:t>十二</w:t>
      </w:r>
      <w:r>
        <w:rPr>
          <w:rFonts w:ascii="仿宋_GB2312" w:hAnsi="仿宋_GB2312" w:eastAsia="楷体_GB2312" w:cs="楷体_GB2312"/>
          <w:sz w:val="32"/>
          <w:szCs w:val="32"/>
        </w:rPr>
        <w:t>条</w:t>
      </w:r>
      <w:r>
        <w:rPr>
          <w:rFonts w:hint="eastAsia" w:ascii="仿宋_GB2312" w:hAnsi="仿宋_GB2312" w:eastAsia="楷体_GB2312" w:cs="楷体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本实施细则所指的到我县创新创业，一般具备下列基本条件：带技术、项目、资金到清流创办企业，引领和带动我县产业发展。</w:t>
      </w:r>
    </w:p>
    <w:p w14:paraId="7DD34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楷体_GB2312" w:cs="楷体_GB2312"/>
          <w:sz w:val="32"/>
          <w:szCs w:val="32"/>
        </w:rPr>
        <w:t>第十</w:t>
      </w:r>
      <w:r>
        <w:rPr>
          <w:rFonts w:hint="eastAsia" w:ascii="仿宋_GB2312" w:hAnsi="仿宋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楷体_GB2312" w:cs="楷体_GB2312"/>
          <w:sz w:val="32"/>
          <w:szCs w:val="32"/>
        </w:rPr>
        <w:t xml:space="preserve">条  </w:t>
      </w:r>
      <w:r>
        <w:rPr>
          <w:rFonts w:hint="eastAsia" w:ascii="仿宋_GB2312" w:hAnsi="仿宋_GB2312" w:eastAsia="仿宋_GB2312" w:cs="仿宋_GB2312"/>
          <w:sz w:val="32"/>
          <w:szCs w:val="32"/>
        </w:rPr>
        <w:t>用人单位对柔性引进人才有培养使用、服务管理、督促考核等责任。每年柔性引进的人才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用人单位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向县民社局提交年度工作总结，县民社局对柔性引进的人才进行评价，优秀的给予奖励。</w:t>
      </w:r>
    </w:p>
    <w:p w14:paraId="0490D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楷体_GB2312" w:cs="楷体_GB2312"/>
          <w:sz w:val="32"/>
          <w:szCs w:val="32"/>
        </w:rPr>
        <w:t>第十</w:t>
      </w:r>
      <w:r>
        <w:rPr>
          <w:rFonts w:hint="eastAsia" w:ascii="仿宋_GB2312" w:hAnsi="仿宋_GB2312" w:eastAsia="楷体_GB2312" w:cs="楷体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楷体_GB2312" w:cs="楷体_GB2312"/>
          <w:sz w:val="32"/>
          <w:szCs w:val="32"/>
        </w:rPr>
        <w:t xml:space="preserve">条  </w:t>
      </w:r>
      <w:r>
        <w:rPr>
          <w:rFonts w:hint="eastAsia" w:ascii="仿宋_GB2312" w:hAnsi="仿宋_GB2312" w:eastAsia="仿宋_GB2312" w:cs="仿宋_GB2312"/>
          <w:sz w:val="32"/>
          <w:szCs w:val="32"/>
        </w:rPr>
        <w:t>要严格区分全职引才和柔性引才界限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严禁通过签订虚假协议、谎报工作业绩等方式骗取奖补资金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对弄虚作假的个人和单位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将取消申报资格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追缴已享受的优惠待遇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并计入各级公共信用信息系统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情节严重的将依法依规追究责任。</w:t>
      </w:r>
    </w:p>
    <w:p w14:paraId="501AB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楷体_GB2312" w:cs="楷体_GB2312"/>
          <w:sz w:val="32"/>
          <w:szCs w:val="32"/>
        </w:rPr>
        <w:t>第</w:t>
      </w:r>
      <w:r>
        <w:rPr>
          <w:rFonts w:hint="eastAsia" w:ascii="仿宋_GB2312" w:hAnsi="仿宋_GB2312" w:eastAsia="楷体_GB2312" w:cs="楷体_GB2312"/>
          <w:sz w:val="32"/>
          <w:szCs w:val="32"/>
          <w:lang w:val="en-US" w:eastAsia="zh-CN"/>
        </w:rPr>
        <w:t>十五</w:t>
      </w:r>
      <w:r>
        <w:rPr>
          <w:rFonts w:hint="eastAsia" w:ascii="仿宋_GB2312" w:hAnsi="仿宋_GB2312" w:eastAsia="楷体_GB2312" w:cs="楷体_GB2312"/>
          <w:sz w:val="32"/>
          <w:szCs w:val="32"/>
        </w:rPr>
        <w:t xml:space="preserve">条  </w:t>
      </w:r>
      <w:r>
        <w:rPr>
          <w:rFonts w:hint="eastAsia" w:ascii="仿宋_GB2312" w:hAnsi="仿宋_GB2312" w:eastAsia="仿宋_GB2312" w:cs="仿宋_GB2312"/>
          <w:sz w:val="32"/>
          <w:szCs w:val="32"/>
        </w:rPr>
        <w:t>本实施细则自发布之日起实施，试行3年，具体解释由县委人才办、县民社局负责。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重点企业由县工信局负责发布。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本文件中的补助条款、奖励按照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谁邀请谁使用谁负责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原则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由邀请单位和用人单位</w:t>
      </w:r>
      <w:r>
        <w:rPr>
          <w:rFonts w:ascii="仿宋_GB2312" w:hAnsi="仿宋_GB2312" w:eastAsia="仿宋_GB2312" w:cs="仿宋_GB2312"/>
          <w:sz w:val="32"/>
          <w:szCs w:val="32"/>
        </w:rPr>
        <w:t>承担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与中央和省、市、县已出台的政策有不一致或重叠的，按照“就高、从优、不重复”原则执行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除上级补助资金和现有政策已明确资金渠道的以外，</w:t>
      </w:r>
      <w:r>
        <w:rPr>
          <w:rFonts w:ascii="仿宋_GB2312" w:hAnsi="仿宋_GB2312" w:eastAsia="仿宋_GB2312" w:cs="仿宋_GB2312"/>
          <w:sz w:val="32"/>
          <w:szCs w:val="32"/>
        </w:rPr>
        <w:t>其余部分</w:t>
      </w:r>
      <w:r>
        <w:rPr>
          <w:rFonts w:hint="eastAsia" w:ascii="仿宋_GB2312" w:hAnsi="仿宋_GB2312" w:eastAsia="仿宋_GB2312" w:cs="仿宋_GB2312"/>
          <w:sz w:val="32"/>
          <w:szCs w:val="32"/>
        </w:rPr>
        <w:t>由县人才专项资金承担。</w:t>
      </w:r>
    </w:p>
    <w:p w14:paraId="2ADB2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</w:p>
    <w:p w14:paraId="51996A33">
      <w:pPr>
        <w:rPr>
          <w:rFonts w:hint="eastAsia"/>
        </w:rPr>
      </w:pPr>
    </w:p>
    <w:p w14:paraId="75F7F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rPr>
          <w:rFonts w:hint="eastAsia" w:ascii="仿宋_GB2312" w:hAnsi="仿宋_GB2312" w:eastAsia="方正小标宋简体" w:cs="方正小标宋简体"/>
          <w:sz w:val="44"/>
          <w:szCs w:val="44"/>
        </w:rPr>
        <w:sectPr>
          <w:footerReference r:id="rId3" w:type="default"/>
          <w:pgSz w:w="11906" w:h="16838"/>
          <w:pgMar w:top="1474" w:right="1474" w:bottom="1474" w:left="1474" w:header="851" w:footer="992" w:gutter="0"/>
          <w:pgNumType w:fmt="numberInDash"/>
          <w:cols w:space="720" w:num="1"/>
          <w:docGrid w:type="lines" w:linePitch="312" w:charSpace="0"/>
        </w:sectPr>
      </w:pPr>
    </w:p>
    <w:p w14:paraId="26A72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rPr>
          <w:rFonts w:hint="eastAsia" w:ascii="仿宋_GB2312" w:hAnsi="仿宋_GB2312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方正小标宋简体" w:cs="方正小标宋简体"/>
          <w:sz w:val="44"/>
          <w:szCs w:val="44"/>
        </w:rPr>
        <w:t>清流县柔性引才实施细则</w:t>
      </w:r>
      <w:r>
        <w:rPr>
          <w:rFonts w:hint="eastAsia" w:ascii="仿宋_GB2312" w:hAnsi="仿宋_GB2312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仿宋_GB2312" w:hAnsi="仿宋_GB2312" w:eastAsia="方正小标宋简体" w:cs="方正小标宋简体"/>
          <w:sz w:val="44"/>
          <w:szCs w:val="44"/>
        </w:rPr>
        <w:t>试行</w:t>
      </w:r>
      <w:r>
        <w:rPr>
          <w:rFonts w:hint="eastAsia" w:ascii="仿宋_GB2312" w:hAnsi="仿宋_GB2312" w:eastAsia="方正小标宋简体" w:cs="方正小标宋简体"/>
          <w:sz w:val="44"/>
          <w:szCs w:val="44"/>
          <w:lang w:eastAsia="zh-CN"/>
        </w:rPr>
        <w:t>）</w:t>
      </w:r>
    </w:p>
    <w:p w14:paraId="71525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rPr>
          <w:rFonts w:hint="default" w:ascii="仿宋_GB2312" w:hAnsi="仿宋_GB2312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方正小标宋简体" w:cs="方正小标宋简体"/>
          <w:sz w:val="44"/>
          <w:szCs w:val="44"/>
          <w:lang w:val="en-US" w:eastAsia="zh-CN"/>
        </w:rPr>
        <w:t>责任分工</w:t>
      </w:r>
    </w:p>
    <w:p w14:paraId="681789CF">
      <w:pPr>
        <w:pStyle w:val="2"/>
        <w:rPr>
          <w:rFonts w:ascii="仿宋_GB2312" w:hAnsi="仿宋_GB2312"/>
        </w:rPr>
      </w:pPr>
    </w:p>
    <w:tbl>
      <w:tblPr>
        <w:tblStyle w:val="16"/>
        <w:tblW w:w="10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815"/>
        <w:gridCol w:w="4576"/>
        <w:gridCol w:w="1380"/>
        <w:gridCol w:w="1409"/>
        <w:gridCol w:w="841"/>
      </w:tblGrid>
      <w:tr w14:paraId="6D448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69" w:type="dxa"/>
            <w:noWrap w:val="0"/>
            <w:vAlign w:val="center"/>
          </w:tcPr>
          <w:p w14:paraId="7B34F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15" w:type="dxa"/>
            <w:noWrap w:val="0"/>
            <w:vAlign w:val="center"/>
          </w:tcPr>
          <w:p w14:paraId="47AD8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事项</w:t>
            </w:r>
          </w:p>
        </w:tc>
        <w:tc>
          <w:tcPr>
            <w:tcW w:w="4576" w:type="dxa"/>
            <w:noWrap w:val="0"/>
            <w:vAlign w:val="center"/>
          </w:tcPr>
          <w:p w14:paraId="38E14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主要内容</w:t>
            </w:r>
          </w:p>
        </w:tc>
        <w:tc>
          <w:tcPr>
            <w:tcW w:w="1380" w:type="dxa"/>
            <w:noWrap w:val="0"/>
            <w:vAlign w:val="center"/>
          </w:tcPr>
          <w:p w14:paraId="60B1A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牵头单位</w:t>
            </w:r>
          </w:p>
        </w:tc>
        <w:tc>
          <w:tcPr>
            <w:tcW w:w="1409" w:type="dxa"/>
            <w:noWrap w:val="0"/>
            <w:vAlign w:val="center"/>
          </w:tcPr>
          <w:p w14:paraId="460E6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责任单位</w:t>
            </w:r>
          </w:p>
        </w:tc>
        <w:tc>
          <w:tcPr>
            <w:tcW w:w="841" w:type="dxa"/>
            <w:noWrap w:val="0"/>
            <w:vAlign w:val="center"/>
          </w:tcPr>
          <w:p w14:paraId="27F05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40B02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exact"/>
          <w:jc w:val="center"/>
        </w:trPr>
        <w:tc>
          <w:tcPr>
            <w:tcW w:w="869" w:type="dxa"/>
            <w:noWrap w:val="0"/>
            <w:vAlign w:val="center"/>
          </w:tcPr>
          <w:p w14:paraId="6DF169C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15" w:type="dxa"/>
            <w:noWrap w:val="0"/>
            <w:vAlign w:val="center"/>
          </w:tcPr>
          <w:p w14:paraId="644C8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“人才飞地”引才</w:t>
            </w:r>
          </w:p>
        </w:tc>
        <w:tc>
          <w:tcPr>
            <w:tcW w:w="4576" w:type="dxa"/>
            <w:noWrap w:val="0"/>
            <w:vAlign w:val="center"/>
          </w:tcPr>
          <w:p w14:paraId="11E45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在国内外重点城市建设的飞地孵化器、飞地研发机构或飞地人才驿站，全职或柔性引进的各类人才。</w:t>
            </w:r>
          </w:p>
        </w:tc>
        <w:tc>
          <w:tcPr>
            <w:tcW w:w="1380" w:type="dxa"/>
            <w:noWrap w:val="0"/>
            <w:vAlign w:val="center"/>
          </w:tcPr>
          <w:p w14:paraId="1BCE0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工信局</w:t>
            </w:r>
          </w:p>
          <w:p w14:paraId="44C31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民社局</w:t>
            </w:r>
          </w:p>
        </w:tc>
        <w:tc>
          <w:tcPr>
            <w:tcW w:w="1409" w:type="dxa"/>
            <w:noWrap w:val="0"/>
            <w:vAlign w:val="center"/>
          </w:tcPr>
          <w:p w14:paraId="57366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工商联</w:t>
            </w:r>
          </w:p>
          <w:p w14:paraId="38298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各单位</w:t>
            </w:r>
          </w:p>
        </w:tc>
        <w:tc>
          <w:tcPr>
            <w:tcW w:w="841" w:type="dxa"/>
            <w:noWrap w:val="0"/>
            <w:vAlign w:val="center"/>
          </w:tcPr>
          <w:p w14:paraId="2661F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671AF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exact"/>
          <w:jc w:val="center"/>
        </w:trPr>
        <w:tc>
          <w:tcPr>
            <w:tcW w:w="869" w:type="dxa"/>
            <w:noWrap w:val="0"/>
            <w:vAlign w:val="center"/>
          </w:tcPr>
          <w:p w14:paraId="79EF380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15" w:type="dxa"/>
            <w:noWrap w:val="0"/>
            <w:vAlign w:val="center"/>
          </w:tcPr>
          <w:p w14:paraId="1E671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聘请专家</w:t>
            </w:r>
          </w:p>
        </w:tc>
        <w:tc>
          <w:tcPr>
            <w:tcW w:w="4576" w:type="dxa"/>
            <w:noWrap w:val="0"/>
            <w:vAlign w:val="center"/>
          </w:tcPr>
          <w:p w14:paraId="47EF9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为产业发展和重大战略规划提供人才智力支持，开展合作项目联合攻关、科研成果落地转化的福建省氟新材料产业链特聘专家团等专家。</w:t>
            </w:r>
          </w:p>
        </w:tc>
        <w:tc>
          <w:tcPr>
            <w:tcW w:w="1380" w:type="dxa"/>
            <w:noWrap w:val="0"/>
            <w:vAlign w:val="center"/>
          </w:tcPr>
          <w:p w14:paraId="282E2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人才办</w:t>
            </w:r>
          </w:p>
        </w:tc>
        <w:tc>
          <w:tcPr>
            <w:tcW w:w="1409" w:type="dxa"/>
            <w:noWrap w:val="0"/>
            <w:vAlign w:val="center"/>
          </w:tcPr>
          <w:p w14:paraId="14F5D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工信局</w:t>
            </w:r>
          </w:p>
          <w:p w14:paraId="6BA38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科协</w:t>
            </w:r>
          </w:p>
          <w:p w14:paraId="3ED0E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各单位</w:t>
            </w:r>
          </w:p>
        </w:tc>
        <w:tc>
          <w:tcPr>
            <w:tcW w:w="841" w:type="dxa"/>
            <w:noWrap w:val="0"/>
            <w:vAlign w:val="center"/>
          </w:tcPr>
          <w:p w14:paraId="7C2E6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28C3E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exact"/>
          <w:jc w:val="center"/>
        </w:trPr>
        <w:tc>
          <w:tcPr>
            <w:tcW w:w="869" w:type="dxa"/>
            <w:noWrap w:val="0"/>
            <w:vAlign w:val="center"/>
          </w:tcPr>
          <w:p w14:paraId="2ABCA8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15" w:type="dxa"/>
            <w:noWrap w:val="0"/>
            <w:vAlign w:val="center"/>
          </w:tcPr>
          <w:p w14:paraId="293BA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人才回引</w:t>
            </w:r>
          </w:p>
        </w:tc>
        <w:tc>
          <w:tcPr>
            <w:tcW w:w="4576" w:type="dxa"/>
            <w:noWrap w:val="0"/>
            <w:vAlign w:val="center"/>
          </w:tcPr>
          <w:p w14:paraId="76E13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jc w:val="both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利用周末、节假日或返乡探亲期间，为清流提供科学研究、课题攻关等各方面智力支持的人才。</w:t>
            </w:r>
          </w:p>
        </w:tc>
        <w:tc>
          <w:tcPr>
            <w:tcW w:w="1380" w:type="dxa"/>
            <w:noWrap w:val="0"/>
            <w:vAlign w:val="center"/>
          </w:tcPr>
          <w:p w14:paraId="1302C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人才办</w:t>
            </w:r>
          </w:p>
        </w:tc>
        <w:tc>
          <w:tcPr>
            <w:tcW w:w="1409" w:type="dxa"/>
            <w:noWrap w:val="0"/>
            <w:vAlign w:val="center"/>
          </w:tcPr>
          <w:p w14:paraId="47286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各单位</w:t>
            </w:r>
          </w:p>
        </w:tc>
        <w:tc>
          <w:tcPr>
            <w:tcW w:w="841" w:type="dxa"/>
            <w:noWrap w:val="0"/>
            <w:vAlign w:val="center"/>
          </w:tcPr>
          <w:p w14:paraId="6738F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37A40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exact"/>
          <w:jc w:val="center"/>
        </w:trPr>
        <w:tc>
          <w:tcPr>
            <w:tcW w:w="869" w:type="dxa"/>
            <w:noWrap w:val="0"/>
            <w:vAlign w:val="center"/>
          </w:tcPr>
          <w:p w14:paraId="1E42C6B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815" w:type="dxa"/>
            <w:noWrap w:val="0"/>
            <w:vAlign w:val="center"/>
          </w:tcPr>
          <w:p w14:paraId="471D6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对口支援</w:t>
            </w:r>
          </w:p>
          <w:p w14:paraId="6AD93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引才</w:t>
            </w:r>
          </w:p>
        </w:tc>
        <w:tc>
          <w:tcPr>
            <w:tcW w:w="4576" w:type="dxa"/>
            <w:noWrap w:val="0"/>
            <w:vAlign w:val="center"/>
          </w:tcPr>
          <w:p w14:paraId="59129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与市外用人单位签订整体合作协议的方式，为我县提供对口智力支援的优秀人才。</w:t>
            </w:r>
          </w:p>
        </w:tc>
        <w:tc>
          <w:tcPr>
            <w:tcW w:w="1380" w:type="dxa"/>
            <w:noWrap w:val="0"/>
            <w:vAlign w:val="center"/>
          </w:tcPr>
          <w:p w14:paraId="560C52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发改局</w:t>
            </w:r>
          </w:p>
        </w:tc>
        <w:tc>
          <w:tcPr>
            <w:tcW w:w="1409" w:type="dxa"/>
            <w:noWrap w:val="0"/>
            <w:vAlign w:val="center"/>
          </w:tcPr>
          <w:p w14:paraId="70F7B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各单位</w:t>
            </w:r>
          </w:p>
        </w:tc>
        <w:tc>
          <w:tcPr>
            <w:tcW w:w="841" w:type="dxa"/>
            <w:noWrap w:val="0"/>
            <w:vAlign w:val="center"/>
          </w:tcPr>
          <w:p w14:paraId="3526D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31621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exact"/>
          <w:jc w:val="center"/>
        </w:trPr>
        <w:tc>
          <w:tcPr>
            <w:tcW w:w="869" w:type="dxa"/>
            <w:noWrap w:val="0"/>
            <w:vAlign w:val="center"/>
          </w:tcPr>
          <w:p w14:paraId="5043E3B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815" w:type="dxa"/>
            <w:noWrap w:val="0"/>
            <w:vAlign w:val="center"/>
          </w:tcPr>
          <w:p w14:paraId="7F2A5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创新创业</w:t>
            </w:r>
          </w:p>
          <w:p w14:paraId="714FE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引才</w:t>
            </w:r>
          </w:p>
        </w:tc>
        <w:tc>
          <w:tcPr>
            <w:tcW w:w="4576" w:type="dxa"/>
            <w:noWrap w:val="0"/>
            <w:vAlign w:val="center"/>
          </w:tcPr>
          <w:p w14:paraId="3C87B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拥有自主知识产权、非全职来清创办企业的人才，或带资本投资的人才。</w:t>
            </w:r>
          </w:p>
        </w:tc>
        <w:tc>
          <w:tcPr>
            <w:tcW w:w="1380" w:type="dxa"/>
            <w:noWrap w:val="0"/>
            <w:vAlign w:val="center"/>
          </w:tcPr>
          <w:p w14:paraId="34CA1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工信局</w:t>
            </w:r>
          </w:p>
          <w:p w14:paraId="3611A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开发区</w:t>
            </w:r>
          </w:p>
        </w:tc>
        <w:tc>
          <w:tcPr>
            <w:tcW w:w="1409" w:type="dxa"/>
            <w:noWrap w:val="0"/>
            <w:vAlign w:val="center"/>
          </w:tcPr>
          <w:p w14:paraId="09EF3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41" w:type="dxa"/>
            <w:noWrap w:val="0"/>
            <w:vAlign w:val="center"/>
          </w:tcPr>
          <w:p w14:paraId="39A36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2608A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jc w:val="center"/>
        </w:trPr>
        <w:tc>
          <w:tcPr>
            <w:tcW w:w="869" w:type="dxa"/>
            <w:noWrap w:val="0"/>
            <w:vAlign w:val="center"/>
          </w:tcPr>
          <w:p w14:paraId="290C01A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815" w:type="dxa"/>
            <w:noWrap w:val="0"/>
            <w:vAlign w:val="center"/>
          </w:tcPr>
          <w:p w14:paraId="6EADF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退休返聘</w:t>
            </w:r>
          </w:p>
          <w:p w14:paraId="5ECE9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引才</w:t>
            </w:r>
          </w:p>
        </w:tc>
        <w:tc>
          <w:tcPr>
            <w:tcW w:w="4576" w:type="dxa"/>
            <w:noWrap w:val="0"/>
            <w:vAlign w:val="center"/>
          </w:tcPr>
          <w:p w14:paraId="0189E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签订5年以上协议的新引进退休省级高层次ABC类人才或企业新引进年薪10万元以上的退休高层次人才。</w:t>
            </w:r>
          </w:p>
        </w:tc>
        <w:tc>
          <w:tcPr>
            <w:tcW w:w="1380" w:type="dxa"/>
            <w:noWrap w:val="0"/>
            <w:vAlign w:val="center"/>
          </w:tcPr>
          <w:p w14:paraId="38B26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民社局</w:t>
            </w:r>
          </w:p>
        </w:tc>
        <w:tc>
          <w:tcPr>
            <w:tcW w:w="1409" w:type="dxa"/>
            <w:noWrap w:val="0"/>
            <w:vAlign w:val="center"/>
          </w:tcPr>
          <w:p w14:paraId="0B3E4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各单位</w:t>
            </w:r>
          </w:p>
        </w:tc>
        <w:tc>
          <w:tcPr>
            <w:tcW w:w="841" w:type="dxa"/>
            <w:noWrap w:val="0"/>
            <w:vAlign w:val="center"/>
          </w:tcPr>
          <w:p w14:paraId="11D9A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6009D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  <w:jc w:val="center"/>
        </w:trPr>
        <w:tc>
          <w:tcPr>
            <w:tcW w:w="869" w:type="dxa"/>
            <w:vMerge w:val="restart"/>
            <w:noWrap w:val="0"/>
            <w:vAlign w:val="center"/>
          </w:tcPr>
          <w:p w14:paraId="007C0D9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815" w:type="dxa"/>
            <w:vMerge w:val="restart"/>
            <w:noWrap w:val="0"/>
            <w:vAlign w:val="center"/>
          </w:tcPr>
          <w:p w14:paraId="1F111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工作站点</w:t>
            </w:r>
          </w:p>
          <w:p w14:paraId="2D034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引才</w:t>
            </w:r>
          </w:p>
        </w:tc>
        <w:tc>
          <w:tcPr>
            <w:tcW w:w="4576" w:type="dxa"/>
            <w:noWrap w:val="0"/>
            <w:vAlign w:val="center"/>
          </w:tcPr>
          <w:p w14:paraId="433D7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依托县级及以上人才平台柔性引进县外高层次人才或团队。</w:t>
            </w:r>
          </w:p>
        </w:tc>
        <w:tc>
          <w:tcPr>
            <w:tcW w:w="1380" w:type="dxa"/>
            <w:noWrap w:val="0"/>
            <w:vAlign w:val="center"/>
          </w:tcPr>
          <w:p w14:paraId="0B853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人才办</w:t>
            </w:r>
          </w:p>
        </w:tc>
        <w:tc>
          <w:tcPr>
            <w:tcW w:w="1409" w:type="dxa"/>
            <w:noWrap w:val="0"/>
            <w:vAlign w:val="center"/>
          </w:tcPr>
          <w:p w14:paraId="69FD7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各单位</w:t>
            </w:r>
          </w:p>
        </w:tc>
        <w:tc>
          <w:tcPr>
            <w:tcW w:w="841" w:type="dxa"/>
            <w:noWrap w:val="0"/>
            <w:vAlign w:val="center"/>
          </w:tcPr>
          <w:p w14:paraId="1DB6D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4BD8E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  <w:jc w:val="center"/>
        </w:trPr>
        <w:tc>
          <w:tcPr>
            <w:tcW w:w="869" w:type="dxa"/>
            <w:vMerge w:val="continue"/>
            <w:noWrap w:val="0"/>
            <w:vAlign w:val="center"/>
          </w:tcPr>
          <w:p w14:paraId="24B56F1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 w14:paraId="6329B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4576" w:type="dxa"/>
            <w:noWrap w:val="0"/>
            <w:vAlign w:val="center"/>
          </w:tcPr>
          <w:p w14:paraId="30B05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建立名师、名医工作室的县外高层次人才或团队。</w:t>
            </w:r>
          </w:p>
        </w:tc>
        <w:tc>
          <w:tcPr>
            <w:tcW w:w="1380" w:type="dxa"/>
            <w:noWrap w:val="0"/>
            <w:vAlign w:val="center"/>
          </w:tcPr>
          <w:p w14:paraId="52CA4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教育局</w:t>
            </w:r>
          </w:p>
          <w:p w14:paraId="2F84B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卫健局</w:t>
            </w:r>
          </w:p>
        </w:tc>
        <w:tc>
          <w:tcPr>
            <w:tcW w:w="1409" w:type="dxa"/>
            <w:noWrap w:val="0"/>
            <w:vAlign w:val="center"/>
          </w:tcPr>
          <w:p w14:paraId="081DF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1" w:type="dxa"/>
            <w:noWrap w:val="0"/>
            <w:vAlign w:val="center"/>
          </w:tcPr>
          <w:p w14:paraId="3CFA5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11DDA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exact"/>
          <w:jc w:val="center"/>
        </w:trPr>
        <w:tc>
          <w:tcPr>
            <w:tcW w:w="869" w:type="dxa"/>
            <w:noWrap w:val="0"/>
            <w:vAlign w:val="center"/>
          </w:tcPr>
          <w:p w14:paraId="23749F4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815" w:type="dxa"/>
            <w:noWrap w:val="0"/>
            <w:vAlign w:val="center"/>
          </w:tcPr>
          <w:p w14:paraId="39C37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项目合作</w:t>
            </w:r>
          </w:p>
          <w:p w14:paraId="24873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引才</w:t>
            </w:r>
          </w:p>
        </w:tc>
        <w:tc>
          <w:tcPr>
            <w:tcW w:w="4576" w:type="dxa"/>
            <w:noWrap w:val="0"/>
            <w:vAlign w:val="center"/>
          </w:tcPr>
          <w:p w14:paraId="012EA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依托市级及以上重点项目（重点课题），联合开展课题研究、产品研发和技术创新等工作的县外高层次人才。</w:t>
            </w:r>
          </w:p>
        </w:tc>
        <w:tc>
          <w:tcPr>
            <w:tcW w:w="1380" w:type="dxa"/>
            <w:noWrap w:val="0"/>
            <w:vAlign w:val="center"/>
          </w:tcPr>
          <w:p w14:paraId="3EE04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人才办</w:t>
            </w:r>
          </w:p>
        </w:tc>
        <w:tc>
          <w:tcPr>
            <w:tcW w:w="1409" w:type="dxa"/>
            <w:noWrap w:val="0"/>
            <w:vAlign w:val="center"/>
          </w:tcPr>
          <w:p w14:paraId="6CF5C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各单位</w:t>
            </w:r>
          </w:p>
        </w:tc>
        <w:tc>
          <w:tcPr>
            <w:tcW w:w="841" w:type="dxa"/>
            <w:noWrap w:val="0"/>
            <w:vAlign w:val="center"/>
          </w:tcPr>
          <w:p w14:paraId="1ADDE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4182C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exact"/>
          <w:jc w:val="center"/>
        </w:trPr>
        <w:tc>
          <w:tcPr>
            <w:tcW w:w="869" w:type="dxa"/>
            <w:vMerge w:val="restart"/>
            <w:noWrap w:val="0"/>
            <w:vAlign w:val="center"/>
          </w:tcPr>
          <w:p w14:paraId="62D29B0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815" w:type="dxa"/>
            <w:vMerge w:val="restart"/>
            <w:noWrap w:val="0"/>
            <w:vAlign w:val="center"/>
          </w:tcPr>
          <w:p w14:paraId="1CF37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人才对接</w:t>
            </w:r>
          </w:p>
          <w:p w14:paraId="71C3A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交流</w:t>
            </w:r>
          </w:p>
        </w:tc>
        <w:tc>
          <w:tcPr>
            <w:tcW w:w="4576" w:type="dxa"/>
            <w:noWrap w:val="0"/>
            <w:vAlign w:val="center"/>
          </w:tcPr>
          <w:p w14:paraId="3F6F8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受邀参加应聘求职、实习、实训、实践、对接交流的学生和专家。</w:t>
            </w:r>
          </w:p>
        </w:tc>
        <w:tc>
          <w:tcPr>
            <w:tcW w:w="1380" w:type="dxa"/>
            <w:noWrap w:val="0"/>
            <w:vAlign w:val="center"/>
          </w:tcPr>
          <w:p w14:paraId="49A01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团县委</w:t>
            </w:r>
          </w:p>
        </w:tc>
        <w:tc>
          <w:tcPr>
            <w:tcW w:w="1409" w:type="dxa"/>
            <w:noWrap w:val="0"/>
            <w:vAlign w:val="center"/>
          </w:tcPr>
          <w:p w14:paraId="24881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各单位</w:t>
            </w:r>
          </w:p>
        </w:tc>
        <w:tc>
          <w:tcPr>
            <w:tcW w:w="841" w:type="dxa"/>
            <w:noWrap w:val="0"/>
            <w:vAlign w:val="center"/>
          </w:tcPr>
          <w:p w14:paraId="3760E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5C6E0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  <w:jc w:val="center"/>
        </w:trPr>
        <w:tc>
          <w:tcPr>
            <w:tcW w:w="869" w:type="dxa"/>
            <w:vMerge w:val="continue"/>
            <w:noWrap w:val="0"/>
            <w:vAlign w:val="center"/>
          </w:tcPr>
          <w:p w14:paraId="5EC8A87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 w14:paraId="067A6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4576" w:type="dxa"/>
            <w:noWrap w:val="0"/>
            <w:vAlign w:val="center"/>
          </w:tcPr>
          <w:p w14:paraId="131BC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参加人才、人社部门招才引智活动的企业。</w:t>
            </w:r>
          </w:p>
        </w:tc>
        <w:tc>
          <w:tcPr>
            <w:tcW w:w="1380" w:type="dxa"/>
            <w:noWrap w:val="0"/>
            <w:vAlign w:val="center"/>
          </w:tcPr>
          <w:p w14:paraId="09ED4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人才办</w:t>
            </w:r>
          </w:p>
          <w:p w14:paraId="642E7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民社局</w:t>
            </w:r>
          </w:p>
        </w:tc>
        <w:tc>
          <w:tcPr>
            <w:tcW w:w="1409" w:type="dxa"/>
            <w:noWrap w:val="0"/>
            <w:vAlign w:val="center"/>
          </w:tcPr>
          <w:p w14:paraId="1770A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各单位</w:t>
            </w:r>
          </w:p>
        </w:tc>
        <w:tc>
          <w:tcPr>
            <w:tcW w:w="841" w:type="dxa"/>
            <w:noWrap w:val="0"/>
            <w:vAlign w:val="center"/>
          </w:tcPr>
          <w:p w14:paraId="4B52B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7466A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869" w:type="dxa"/>
            <w:noWrap w:val="0"/>
            <w:vAlign w:val="center"/>
          </w:tcPr>
          <w:p w14:paraId="249877C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815" w:type="dxa"/>
            <w:noWrap w:val="0"/>
            <w:vAlign w:val="center"/>
          </w:tcPr>
          <w:p w14:paraId="6541F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人才认定</w:t>
            </w:r>
          </w:p>
        </w:tc>
        <w:tc>
          <w:tcPr>
            <w:tcW w:w="4576" w:type="dxa"/>
            <w:noWrap w:val="0"/>
            <w:vAlign w:val="center"/>
          </w:tcPr>
          <w:p w14:paraId="712F2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在福建海纳百川人才网、三明人才网认定省、市级人才。</w:t>
            </w:r>
          </w:p>
        </w:tc>
        <w:tc>
          <w:tcPr>
            <w:tcW w:w="1380" w:type="dxa"/>
            <w:noWrap w:val="0"/>
            <w:vAlign w:val="center"/>
          </w:tcPr>
          <w:p w14:paraId="326A3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民社局</w:t>
            </w:r>
          </w:p>
        </w:tc>
        <w:tc>
          <w:tcPr>
            <w:tcW w:w="1409" w:type="dxa"/>
            <w:noWrap w:val="0"/>
            <w:vAlign w:val="center"/>
          </w:tcPr>
          <w:p w14:paraId="6A11B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各单位</w:t>
            </w:r>
          </w:p>
        </w:tc>
        <w:tc>
          <w:tcPr>
            <w:tcW w:w="841" w:type="dxa"/>
            <w:noWrap w:val="0"/>
            <w:vAlign w:val="center"/>
          </w:tcPr>
          <w:p w14:paraId="3E603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14E95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869" w:type="dxa"/>
            <w:noWrap w:val="0"/>
            <w:vAlign w:val="center"/>
          </w:tcPr>
          <w:p w14:paraId="03A7ABA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815" w:type="dxa"/>
            <w:noWrap w:val="0"/>
            <w:vAlign w:val="center"/>
          </w:tcPr>
          <w:p w14:paraId="3C772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人才服务</w:t>
            </w:r>
          </w:p>
        </w:tc>
        <w:tc>
          <w:tcPr>
            <w:tcW w:w="4576" w:type="dxa"/>
            <w:noWrap w:val="0"/>
            <w:vAlign w:val="center"/>
          </w:tcPr>
          <w:p w14:paraId="3E43E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经认定的柔性引进人才纳入党委联系专家和人才卡服务范围。</w:t>
            </w:r>
          </w:p>
        </w:tc>
        <w:tc>
          <w:tcPr>
            <w:tcW w:w="1380" w:type="dxa"/>
            <w:noWrap w:val="0"/>
            <w:vAlign w:val="center"/>
          </w:tcPr>
          <w:p w14:paraId="7C75D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人才办</w:t>
            </w:r>
          </w:p>
        </w:tc>
        <w:tc>
          <w:tcPr>
            <w:tcW w:w="1409" w:type="dxa"/>
            <w:noWrap w:val="0"/>
            <w:vAlign w:val="center"/>
          </w:tcPr>
          <w:p w14:paraId="02ED2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41" w:type="dxa"/>
            <w:noWrap w:val="0"/>
            <w:vAlign w:val="center"/>
          </w:tcPr>
          <w:p w14:paraId="7CF8B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50769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exact"/>
          <w:jc w:val="center"/>
        </w:trPr>
        <w:tc>
          <w:tcPr>
            <w:tcW w:w="869" w:type="dxa"/>
            <w:noWrap w:val="0"/>
            <w:vAlign w:val="center"/>
          </w:tcPr>
          <w:p w14:paraId="38AA182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815" w:type="dxa"/>
            <w:noWrap w:val="0"/>
            <w:vAlign w:val="center"/>
          </w:tcPr>
          <w:p w14:paraId="5F07B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享受人才</w:t>
            </w:r>
          </w:p>
          <w:p w14:paraId="78BBF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消费券</w:t>
            </w:r>
          </w:p>
        </w:tc>
        <w:tc>
          <w:tcPr>
            <w:tcW w:w="4576" w:type="dxa"/>
            <w:noWrap w:val="0"/>
            <w:vAlign w:val="center"/>
          </w:tcPr>
          <w:p w14:paraId="06349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经认定的柔性引进人才，每年可对应申请免费来清休（度）假人才消费券。</w:t>
            </w:r>
          </w:p>
        </w:tc>
        <w:tc>
          <w:tcPr>
            <w:tcW w:w="1380" w:type="dxa"/>
            <w:noWrap w:val="0"/>
            <w:vAlign w:val="center"/>
          </w:tcPr>
          <w:p w14:paraId="00CC2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人才办</w:t>
            </w:r>
          </w:p>
        </w:tc>
        <w:tc>
          <w:tcPr>
            <w:tcW w:w="1409" w:type="dxa"/>
            <w:noWrap w:val="0"/>
            <w:vAlign w:val="center"/>
          </w:tcPr>
          <w:p w14:paraId="6F2A5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文旅局</w:t>
            </w:r>
          </w:p>
          <w:p w14:paraId="04E30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民社局</w:t>
            </w:r>
          </w:p>
          <w:p w14:paraId="0EE9E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总工会</w:t>
            </w:r>
          </w:p>
          <w:p w14:paraId="615A1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1" w:type="dxa"/>
            <w:noWrap w:val="0"/>
            <w:vAlign w:val="center"/>
          </w:tcPr>
          <w:p w14:paraId="21009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56A5C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exact"/>
          <w:jc w:val="center"/>
        </w:trPr>
        <w:tc>
          <w:tcPr>
            <w:tcW w:w="869" w:type="dxa"/>
            <w:noWrap w:val="0"/>
            <w:vAlign w:val="center"/>
          </w:tcPr>
          <w:p w14:paraId="6F4301A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815" w:type="dxa"/>
            <w:noWrap w:val="0"/>
            <w:vAlign w:val="center"/>
          </w:tcPr>
          <w:p w14:paraId="3C688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服务补助</w:t>
            </w:r>
          </w:p>
        </w:tc>
        <w:tc>
          <w:tcPr>
            <w:tcW w:w="4576" w:type="dxa"/>
            <w:noWrap w:val="0"/>
            <w:vAlign w:val="center"/>
          </w:tcPr>
          <w:p w14:paraId="3FB71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为应邀服务活动的专家人才，提供必要的工作和生活条件，给予交通食宿或相应补贴。</w:t>
            </w:r>
          </w:p>
        </w:tc>
        <w:tc>
          <w:tcPr>
            <w:tcW w:w="1380" w:type="dxa"/>
            <w:noWrap w:val="0"/>
            <w:vAlign w:val="center"/>
          </w:tcPr>
          <w:p w14:paraId="0276D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民社局</w:t>
            </w:r>
          </w:p>
        </w:tc>
        <w:tc>
          <w:tcPr>
            <w:tcW w:w="1409" w:type="dxa"/>
            <w:noWrap w:val="0"/>
            <w:vAlign w:val="center"/>
          </w:tcPr>
          <w:p w14:paraId="44FB5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各单位</w:t>
            </w:r>
          </w:p>
        </w:tc>
        <w:tc>
          <w:tcPr>
            <w:tcW w:w="841" w:type="dxa"/>
            <w:noWrap w:val="0"/>
            <w:vAlign w:val="center"/>
          </w:tcPr>
          <w:p w14:paraId="0D27D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64664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exact"/>
          <w:jc w:val="center"/>
        </w:trPr>
        <w:tc>
          <w:tcPr>
            <w:tcW w:w="869" w:type="dxa"/>
            <w:noWrap w:val="0"/>
            <w:vAlign w:val="center"/>
          </w:tcPr>
          <w:p w14:paraId="512CDA0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815" w:type="dxa"/>
            <w:noWrap w:val="0"/>
            <w:vAlign w:val="center"/>
          </w:tcPr>
          <w:p w14:paraId="6B58B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人才对接交流补助</w:t>
            </w:r>
          </w:p>
        </w:tc>
        <w:tc>
          <w:tcPr>
            <w:tcW w:w="4576" w:type="dxa"/>
            <w:noWrap w:val="0"/>
            <w:vAlign w:val="center"/>
          </w:tcPr>
          <w:p w14:paraId="6E814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对受邀参加人才交流活动的大学生给予交通补贴、安排食宿等。对参加人才、人社部门招才引智活动的企业，保障交通食宿或给予相应补贴。对评为优秀等次的实习单位，给予奖励。</w:t>
            </w:r>
          </w:p>
        </w:tc>
        <w:tc>
          <w:tcPr>
            <w:tcW w:w="1380" w:type="dxa"/>
            <w:noWrap w:val="0"/>
            <w:vAlign w:val="center"/>
          </w:tcPr>
          <w:p w14:paraId="4A9DD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民社局</w:t>
            </w:r>
          </w:p>
        </w:tc>
        <w:tc>
          <w:tcPr>
            <w:tcW w:w="1409" w:type="dxa"/>
            <w:noWrap w:val="0"/>
            <w:vAlign w:val="center"/>
          </w:tcPr>
          <w:p w14:paraId="011AD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各单位</w:t>
            </w:r>
          </w:p>
        </w:tc>
        <w:tc>
          <w:tcPr>
            <w:tcW w:w="841" w:type="dxa"/>
            <w:noWrap w:val="0"/>
            <w:vAlign w:val="center"/>
          </w:tcPr>
          <w:p w14:paraId="27551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3647B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exact"/>
          <w:jc w:val="center"/>
        </w:trPr>
        <w:tc>
          <w:tcPr>
            <w:tcW w:w="869" w:type="dxa"/>
            <w:noWrap w:val="0"/>
            <w:vAlign w:val="center"/>
          </w:tcPr>
          <w:p w14:paraId="7AC378E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815" w:type="dxa"/>
            <w:noWrap w:val="0"/>
            <w:vAlign w:val="center"/>
          </w:tcPr>
          <w:p w14:paraId="242F6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加大创业发展支持力度</w:t>
            </w:r>
          </w:p>
        </w:tc>
        <w:tc>
          <w:tcPr>
            <w:tcW w:w="4576" w:type="dxa"/>
            <w:noWrap w:val="0"/>
            <w:vAlign w:val="center"/>
          </w:tcPr>
          <w:p w14:paraId="0D0D1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入选国家省市重大人才项目或经认定的高层次人才来清就业创业，提供免租创业场所或相应租金补贴，给予创业资助。</w:t>
            </w:r>
          </w:p>
        </w:tc>
        <w:tc>
          <w:tcPr>
            <w:tcW w:w="1380" w:type="dxa"/>
            <w:noWrap w:val="0"/>
            <w:vAlign w:val="center"/>
          </w:tcPr>
          <w:p w14:paraId="551F4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民社局</w:t>
            </w:r>
          </w:p>
        </w:tc>
        <w:tc>
          <w:tcPr>
            <w:tcW w:w="1409" w:type="dxa"/>
            <w:noWrap w:val="0"/>
            <w:vAlign w:val="center"/>
          </w:tcPr>
          <w:p w14:paraId="58F4A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工信局</w:t>
            </w:r>
          </w:p>
          <w:p w14:paraId="65178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开发区</w:t>
            </w:r>
          </w:p>
        </w:tc>
        <w:tc>
          <w:tcPr>
            <w:tcW w:w="841" w:type="dxa"/>
            <w:noWrap w:val="0"/>
            <w:vAlign w:val="center"/>
          </w:tcPr>
          <w:p w14:paraId="608BC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2B8DE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exact"/>
          <w:jc w:val="center"/>
        </w:trPr>
        <w:tc>
          <w:tcPr>
            <w:tcW w:w="869" w:type="dxa"/>
            <w:noWrap w:val="0"/>
            <w:vAlign w:val="center"/>
          </w:tcPr>
          <w:p w14:paraId="4967E28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815" w:type="dxa"/>
            <w:noWrap w:val="0"/>
            <w:vAlign w:val="center"/>
          </w:tcPr>
          <w:p w14:paraId="684AD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人才项目配套奖励</w:t>
            </w:r>
          </w:p>
        </w:tc>
        <w:tc>
          <w:tcPr>
            <w:tcW w:w="4576" w:type="dxa"/>
            <w:noWrap w:val="0"/>
            <w:vAlign w:val="center"/>
          </w:tcPr>
          <w:p w14:paraId="32ED8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对成功入选国家“万人计划”、省引才“百人计划”等人才项目的，给予企业一次性配套奖励。对新引进的、能实现重大产业突破的特级人才，按“一事一议”原则给予综合支持。</w:t>
            </w:r>
          </w:p>
        </w:tc>
        <w:tc>
          <w:tcPr>
            <w:tcW w:w="1380" w:type="dxa"/>
            <w:noWrap w:val="0"/>
            <w:vAlign w:val="center"/>
          </w:tcPr>
          <w:p w14:paraId="0EE00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民社局</w:t>
            </w:r>
          </w:p>
        </w:tc>
        <w:tc>
          <w:tcPr>
            <w:tcW w:w="1409" w:type="dxa"/>
            <w:noWrap w:val="0"/>
            <w:vAlign w:val="center"/>
          </w:tcPr>
          <w:p w14:paraId="196BE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41" w:type="dxa"/>
            <w:noWrap w:val="0"/>
            <w:vAlign w:val="center"/>
          </w:tcPr>
          <w:p w14:paraId="70ECD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0AFC7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exact"/>
          <w:jc w:val="center"/>
        </w:trPr>
        <w:tc>
          <w:tcPr>
            <w:tcW w:w="869" w:type="dxa"/>
            <w:noWrap w:val="0"/>
            <w:vAlign w:val="center"/>
          </w:tcPr>
          <w:p w14:paraId="622A8C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815" w:type="dxa"/>
            <w:noWrap w:val="0"/>
            <w:vAlign w:val="center"/>
          </w:tcPr>
          <w:p w14:paraId="5F81C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引才奖励</w:t>
            </w:r>
          </w:p>
        </w:tc>
        <w:tc>
          <w:tcPr>
            <w:tcW w:w="4576" w:type="dxa"/>
            <w:noWrap w:val="0"/>
            <w:vAlign w:val="center"/>
          </w:tcPr>
          <w:p w14:paraId="1D7BF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jc w:val="both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对聘请的招才引资大使等各类人才，为清流县重点企业人才，引进氟新材料产业企业落地投产的，给予奖励。对清流职中“3+2”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大专及以上等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学生毕业后到清流氟新材料产业重点企业就业的，给予清流职中奖励。</w:t>
            </w:r>
          </w:p>
        </w:tc>
        <w:tc>
          <w:tcPr>
            <w:tcW w:w="1380" w:type="dxa"/>
            <w:noWrap w:val="0"/>
            <w:vAlign w:val="center"/>
          </w:tcPr>
          <w:p w14:paraId="0FBFA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民社局</w:t>
            </w:r>
          </w:p>
        </w:tc>
        <w:tc>
          <w:tcPr>
            <w:tcW w:w="1409" w:type="dxa"/>
            <w:noWrap w:val="0"/>
            <w:vAlign w:val="center"/>
          </w:tcPr>
          <w:p w14:paraId="55EA6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人才办</w:t>
            </w:r>
          </w:p>
          <w:p w14:paraId="6DECE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工信局</w:t>
            </w:r>
          </w:p>
          <w:p w14:paraId="0FA84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教育局</w:t>
            </w:r>
          </w:p>
        </w:tc>
        <w:tc>
          <w:tcPr>
            <w:tcW w:w="841" w:type="dxa"/>
            <w:noWrap w:val="0"/>
            <w:vAlign w:val="center"/>
          </w:tcPr>
          <w:p w14:paraId="5B3B9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6F8A3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exact"/>
          <w:jc w:val="center"/>
        </w:trPr>
        <w:tc>
          <w:tcPr>
            <w:tcW w:w="869" w:type="dxa"/>
            <w:noWrap w:val="0"/>
            <w:vAlign w:val="center"/>
          </w:tcPr>
          <w:p w14:paraId="42963EF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815" w:type="dxa"/>
            <w:noWrap w:val="0"/>
            <w:vAlign w:val="center"/>
          </w:tcPr>
          <w:p w14:paraId="0C892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名师工作室补助</w:t>
            </w:r>
          </w:p>
        </w:tc>
        <w:tc>
          <w:tcPr>
            <w:tcW w:w="4576" w:type="dxa"/>
            <w:noWrap w:val="0"/>
            <w:vAlign w:val="center"/>
          </w:tcPr>
          <w:p w14:paraId="71802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对柔性引进的名师工作室给予劳务补助，来清期间的交通、食宿由结对学校安排，根据协议内容以及学科建设成效予以配套。</w:t>
            </w:r>
          </w:p>
          <w:p w14:paraId="2832E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022B0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民社局</w:t>
            </w:r>
          </w:p>
        </w:tc>
        <w:tc>
          <w:tcPr>
            <w:tcW w:w="1409" w:type="dxa"/>
            <w:noWrap w:val="0"/>
            <w:vAlign w:val="center"/>
          </w:tcPr>
          <w:p w14:paraId="7D0D2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教育局</w:t>
            </w:r>
          </w:p>
        </w:tc>
        <w:tc>
          <w:tcPr>
            <w:tcW w:w="841" w:type="dxa"/>
            <w:noWrap w:val="0"/>
            <w:vAlign w:val="center"/>
          </w:tcPr>
          <w:p w14:paraId="1261B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2DD89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exact"/>
          <w:jc w:val="center"/>
        </w:trPr>
        <w:tc>
          <w:tcPr>
            <w:tcW w:w="869" w:type="dxa"/>
            <w:noWrap w:val="0"/>
            <w:vAlign w:val="center"/>
          </w:tcPr>
          <w:p w14:paraId="1F9FEF1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815" w:type="dxa"/>
            <w:noWrap w:val="0"/>
            <w:vAlign w:val="center"/>
          </w:tcPr>
          <w:p w14:paraId="295F5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名医工作室补助</w:t>
            </w:r>
          </w:p>
        </w:tc>
        <w:tc>
          <w:tcPr>
            <w:tcW w:w="4576" w:type="dxa"/>
            <w:noWrap w:val="0"/>
            <w:vAlign w:val="center"/>
          </w:tcPr>
          <w:p w14:paraId="18C22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jc w:val="both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对柔性引进的名医工作室给予劳务补助和手术补助。为用人单位获评国家、省、市医学课题项目的人才，科研项目奖励，配套科研经费支持。</w:t>
            </w:r>
          </w:p>
        </w:tc>
        <w:tc>
          <w:tcPr>
            <w:tcW w:w="1380" w:type="dxa"/>
            <w:noWrap w:val="0"/>
            <w:vAlign w:val="center"/>
          </w:tcPr>
          <w:p w14:paraId="5676A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民社局</w:t>
            </w:r>
          </w:p>
        </w:tc>
        <w:tc>
          <w:tcPr>
            <w:tcW w:w="1409" w:type="dxa"/>
            <w:noWrap w:val="0"/>
            <w:vAlign w:val="center"/>
          </w:tcPr>
          <w:p w14:paraId="0A8E0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卫健局</w:t>
            </w:r>
          </w:p>
        </w:tc>
        <w:tc>
          <w:tcPr>
            <w:tcW w:w="841" w:type="dxa"/>
            <w:noWrap w:val="0"/>
            <w:vAlign w:val="center"/>
          </w:tcPr>
          <w:p w14:paraId="1E2ED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45A9D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  <w:jc w:val="center"/>
        </w:trPr>
        <w:tc>
          <w:tcPr>
            <w:tcW w:w="869" w:type="dxa"/>
            <w:noWrap w:val="0"/>
            <w:vAlign w:val="center"/>
          </w:tcPr>
          <w:p w14:paraId="54CE329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815" w:type="dxa"/>
            <w:noWrap w:val="0"/>
            <w:vAlign w:val="center"/>
          </w:tcPr>
          <w:p w14:paraId="7C26F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年底评价</w:t>
            </w:r>
          </w:p>
        </w:tc>
        <w:tc>
          <w:tcPr>
            <w:tcW w:w="4576" w:type="dxa"/>
            <w:noWrap w:val="0"/>
            <w:vAlign w:val="center"/>
          </w:tcPr>
          <w:p w14:paraId="33FD7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对柔性引进的人才进行评价，优秀的给予奖励。</w:t>
            </w:r>
          </w:p>
        </w:tc>
        <w:tc>
          <w:tcPr>
            <w:tcW w:w="1380" w:type="dxa"/>
            <w:noWrap w:val="0"/>
            <w:vAlign w:val="center"/>
          </w:tcPr>
          <w:p w14:paraId="60933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民社局</w:t>
            </w:r>
          </w:p>
        </w:tc>
        <w:tc>
          <w:tcPr>
            <w:tcW w:w="1409" w:type="dxa"/>
            <w:noWrap w:val="0"/>
            <w:vAlign w:val="center"/>
          </w:tcPr>
          <w:p w14:paraId="2131A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41" w:type="dxa"/>
            <w:noWrap w:val="0"/>
            <w:vAlign w:val="center"/>
          </w:tcPr>
          <w:p w14:paraId="13F7C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11C92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  <w:jc w:val="center"/>
        </w:trPr>
        <w:tc>
          <w:tcPr>
            <w:tcW w:w="869" w:type="dxa"/>
            <w:noWrap w:val="0"/>
            <w:vAlign w:val="center"/>
          </w:tcPr>
          <w:p w14:paraId="049C854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815" w:type="dxa"/>
            <w:noWrap w:val="0"/>
            <w:vAlign w:val="center"/>
          </w:tcPr>
          <w:p w14:paraId="0AA1B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重点企业</w:t>
            </w:r>
          </w:p>
          <w:p w14:paraId="6C603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发布</w:t>
            </w:r>
          </w:p>
        </w:tc>
        <w:tc>
          <w:tcPr>
            <w:tcW w:w="4576" w:type="dxa"/>
            <w:noWrap w:val="0"/>
            <w:vAlign w:val="center"/>
          </w:tcPr>
          <w:p w14:paraId="3DC87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jc w:val="both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每年发布重点企业名单。</w:t>
            </w:r>
          </w:p>
        </w:tc>
        <w:tc>
          <w:tcPr>
            <w:tcW w:w="1380" w:type="dxa"/>
            <w:noWrap w:val="0"/>
            <w:vAlign w:val="center"/>
          </w:tcPr>
          <w:p w14:paraId="61FBE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工信局</w:t>
            </w:r>
          </w:p>
        </w:tc>
        <w:tc>
          <w:tcPr>
            <w:tcW w:w="1409" w:type="dxa"/>
            <w:noWrap w:val="0"/>
            <w:vAlign w:val="center"/>
          </w:tcPr>
          <w:p w14:paraId="7AF77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41" w:type="dxa"/>
            <w:noWrap w:val="0"/>
            <w:vAlign w:val="center"/>
          </w:tcPr>
          <w:p w14:paraId="3BA2E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0215D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7" w:hRule="exact"/>
          <w:jc w:val="center"/>
        </w:trPr>
        <w:tc>
          <w:tcPr>
            <w:tcW w:w="869" w:type="dxa"/>
            <w:noWrap w:val="0"/>
            <w:vAlign w:val="center"/>
          </w:tcPr>
          <w:p w14:paraId="73DA062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815" w:type="dxa"/>
            <w:noWrap w:val="0"/>
            <w:vAlign w:val="center"/>
          </w:tcPr>
          <w:p w14:paraId="5341E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资金保障</w:t>
            </w:r>
          </w:p>
        </w:tc>
        <w:tc>
          <w:tcPr>
            <w:tcW w:w="4576" w:type="dxa"/>
            <w:noWrap w:val="0"/>
            <w:vAlign w:val="center"/>
          </w:tcPr>
          <w:p w14:paraId="4E001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补助、奖励由邀请单位和用人单位承担；与中央和省、市、县已出台的政策有不一致或重叠的，按照“就高、从优、不重复”原则执行；除上级补助资金和现有政策已明确资金渠道的以外，其余部分由县人才专项资金承担。</w:t>
            </w:r>
          </w:p>
        </w:tc>
        <w:tc>
          <w:tcPr>
            <w:tcW w:w="1380" w:type="dxa"/>
            <w:noWrap w:val="0"/>
            <w:vAlign w:val="center"/>
          </w:tcPr>
          <w:p w14:paraId="631B7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财政局</w:t>
            </w:r>
          </w:p>
        </w:tc>
        <w:tc>
          <w:tcPr>
            <w:tcW w:w="1409" w:type="dxa"/>
            <w:noWrap w:val="0"/>
            <w:vAlign w:val="center"/>
          </w:tcPr>
          <w:p w14:paraId="0A526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各单位</w:t>
            </w:r>
          </w:p>
        </w:tc>
        <w:tc>
          <w:tcPr>
            <w:tcW w:w="841" w:type="dxa"/>
            <w:noWrap w:val="0"/>
            <w:vAlign w:val="center"/>
          </w:tcPr>
          <w:p w14:paraId="5C34F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 w14:paraId="6C6C6F98"/>
    <w:p w14:paraId="71EEA8B7">
      <w:pPr>
        <w:pStyle w:val="2"/>
        <w:pBdr>
          <w:bottom w:val="none" w:color="auto" w:sz="0" w:space="0"/>
        </w:pBdr>
        <w:ind w:left="0" w:leftChars="0" w:firstLine="0" w:firstLineChars="0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7E26287D">
      <w:pPr>
        <w:pStyle w:val="2"/>
        <w:keepNext w:val="0"/>
        <w:keepLines w:val="0"/>
        <w:pageBreakBefore w:val="0"/>
        <w:widowControl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54" w:firstLineChars="50"/>
        <w:textAlignment w:val="baseline"/>
        <w:rPr>
          <w:rFonts w:hint="eastAsia" w:ascii="Times New Roman" w:hAnsi="Times New Roman" w:eastAsia="仿宋_GB2312" w:cs="仿宋_GB2312"/>
          <w:color w:val="000000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spacing w:val="-6"/>
          <w:sz w:val="32"/>
          <w:szCs w:val="32"/>
          <w:u w:val="none"/>
          <w:lang w:val="en-US" w:eastAsia="zh-CN"/>
        </w:rPr>
        <w:t xml:space="preserve">中共清流县委人才工作领导小组办公室   </w:t>
      </w:r>
      <w:r>
        <w:rPr>
          <w:rFonts w:hint="eastAsia" w:ascii="Times New Roman" w:hAnsi="Times New Roman" w:eastAsia="仿宋_GB2312" w:cs="仿宋_GB2312"/>
          <w:color w:val="000000"/>
          <w:spacing w:val="-6"/>
          <w:kern w:val="2"/>
          <w:sz w:val="32"/>
          <w:szCs w:val="32"/>
          <w:u w:val="none"/>
          <w:lang w:val="en-US" w:eastAsia="zh-CN" w:bidi="ar-SA"/>
        </w:rPr>
        <w:t>2025年6月17日印发</w:t>
      </w:r>
    </w:p>
    <w:p w14:paraId="5E346D76">
      <w:pPr>
        <w:pStyle w:val="11"/>
        <w:rPr>
          <w:rFonts w:hint="eastAsia" w:ascii="Times New Roman" w:hAnsi="Times New Roman"/>
          <w:lang w:eastAsia="zh-CN"/>
        </w:rPr>
      </w:pPr>
    </w:p>
    <w:sectPr>
      <w:footerReference r:id="rId4" w:type="default"/>
      <w:pgSz w:w="11906" w:h="16838"/>
      <w:pgMar w:top="1474" w:right="1474" w:bottom="1474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D5CFDD-A473-4E55-84F8-F1E23B1A71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348C68B-F41F-45F1-B211-DEAE4E0AE887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DD82C92-5563-45B2-A1B6-C6420B56A4EC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E66703C-0656-4377-A0FE-718E0259DF3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7A33C9">
    <w:pPr>
      <w:pStyle w:val="12"/>
    </w:pPr>
    <w:r>
      <w:rPr>
        <w:sz w:val="18"/>
      </w:rPr>
      <w:pict>
        <v:shape id="_x0000_s3075" o:spid="_x0000_s3075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35F8ECE">
                <w:pPr>
                  <w:pStyle w:val="12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C11F4">
    <w:pPr>
      <w:pStyle w:val="12"/>
      <w:rPr>
        <w:rStyle w:val="26"/>
      </w:rPr>
    </w:pPr>
    <w: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742DB10">
                <w:pPr>
                  <w:pStyle w:val="12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1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rPr>
        <w:rStyle w:val="26"/>
      </w:rPr>
      <w:pict>
        <v:shape id="_x0000_s3073" o:spid="_x0000_s3073" o:spt="202" type="#_x0000_t202" style="position:absolute;left:0pt;margin-top:0pt;height:144pt;width:144pt;mso-position-horizontal:outside;mso-position-horizontal-relative:margin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D51C669">
                <w:pPr>
                  <w:pStyle w:val="12"/>
                  <w:rPr>
                    <w:rStyle w:val="26"/>
                    <w:rFonts w:ascii="宋体" w:hAnsi="宋体"/>
                    <w:sz w:val="28"/>
                    <w:szCs w:val="28"/>
                  </w:rPr>
                </w:pPr>
              </w:p>
              <w:p w14:paraId="2E790656">
                <w:pPr>
                  <w:rPr>
                    <w:rStyle w:val="26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hdrShapeDefaults>
    <o:shapelayout v:ext="edit">
      <o:idmap v:ext="edit" data="3"/>
    </o:shapelayout>
  </w:hdrShapeDefaults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OTE0ZDgxOGUyNGFiYjVmMjA1NjA1ZDhhNTQxMmI2OTcifQ=="/>
  </w:docVars>
  <w:rsids>
    <w:rsidRoot w:val="00B0214E"/>
    <w:rsid w:val="00032E3B"/>
    <w:rsid w:val="00096D0B"/>
    <w:rsid w:val="0015086E"/>
    <w:rsid w:val="00190F97"/>
    <w:rsid w:val="00196A08"/>
    <w:rsid w:val="001B0B8F"/>
    <w:rsid w:val="001D3DAA"/>
    <w:rsid w:val="001E7198"/>
    <w:rsid w:val="00206B2A"/>
    <w:rsid w:val="002376F7"/>
    <w:rsid w:val="002A576E"/>
    <w:rsid w:val="002D7497"/>
    <w:rsid w:val="003017CA"/>
    <w:rsid w:val="003111B0"/>
    <w:rsid w:val="00342722"/>
    <w:rsid w:val="00394920"/>
    <w:rsid w:val="003B0732"/>
    <w:rsid w:val="003D044F"/>
    <w:rsid w:val="003F099F"/>
    <w:rsid w:val="00445275"/>
    <w:rsid w:val="004A6A50"/>
    <w:rsid w:val="004B29EE"/>
    <w:rsid w:val="004B7C86"/>
    <w:rsid w:val="00553FD1"/>
    <w:rsid w:val="005606A7"/>
    <w:rsid w:val="00582F55"/>
    <w:rsid w:val="0059446B"/>
    <w:rsid w:val="00605F5E"/>
    <w:rsid w:val="00661FCD"/>
    <w:rsid w:val="006707C3"/>
    <w:rsid w:val="006C27F9"/>
    <w:rsid w:val="006F7F31"/>
    <w:rsid w:val="00776B43"/>
    <w:rsid w:val="00867244"/>
    <w:rsid w:val="008B46A0"/>
    <w:rsid w:val="008D0FFF"/>
    <w:rsid w:val="0092413D"/>
    <w:rsid w:val="009253AD"/>
    <w:rsid w:val="00930024"/>
    <w:rsid w:val="00934B26"/>
    <w:rsid w:val="009C6237"/>
    <w:rsid w:val="009F77F3"/>
    <w:rsid w:val="00A630A1"/>
    <w:rsid w:val="00A80A62"/>
    <w:rsid w:val="00AD007A"/>
    <w:rsid w:val="00AE48E1"/>
    <w:rsid w:val="00B0214E"/>
    <w:rsid w:val="00B34C70"/>
    <w:rsid w:val="00B6416E"/>
    <w:rsid w:val="00B64E22"/>
    <w:rsid w:val="00BC3AEA"/>
    <w:rsid w:val="00BC757B"/>
    <w:rsid w:val="00BD26C2"/>
    <w:rsid w:val="00C019D8"/>
    <w:rsid w:val="00C126E2"/>
    <w:rsid w:val="00CA3004"/>
    <w:rsid w:val="00CC1C65"/>
    <w:rsid w:val="00CF4DD9"/>
    <w:rsid w:val="00D87354"/>
    <w:rsid w:val="00DB16C4"/>
    <w:rsid w:val="00DB3EA0"/>
    <w:rsid w:val="00DC2B30"/>
    <w:rsid w:val="00DC734B"/>
    <w:rsid w:val="00DD05C0"/>
    <w:rsid w:val="00E14E80"/>
    <w:rsid w:val="00E26E57"/>
    <w:rsid w:val="00E70612"/>
    <w:rsid w:val="00E8085B"/>
    <w:rsid w:val="00E91993"/>
    <w:rsid w:val="00F607AF"/>
    <w:rsid w:val="00F82169"/>
    <w:rsid w:val="00F93749"/>
    <w:rsid w:val="00FC3D5D"/>
    <w:rsid w:val="00FE3513"/>
    <w:rsid w:val="014C455D"/>
    <w:rsid w:val="03F63685"/>
    <w:rsid w:val="04917CF8"/>
    <w:rsid w:val="05700389"/>
    <w:rsid w:val="07DC3803"/>
    <w:rsid w:val="094B3FEE"/>
    <w:rsid w:val="0AEF4AE6"/>
    <w:rsid w:val="0B37071D"/>
    <w:rsid w:val="0D646FD0"/>
    <w:rsid w:val="0E572004"/>
    <w:rsid w:val="0E9F4FB9"/>
    <w:rsid w:val="0EA14FD5"/>
    <w:rsid w:val="0F84395A"/>
    <w:rsid w:val="12160A2F"/>
    <w:rsid w:val="125661BD"/>
    <w:rsid w:val="128D363E"/>
    <w:rsid w:val="129F1B30"/>
    <w:rsid w:val="13AB0093"/>
    <w:rsid w:val="13D53181"/>
    <w:rsid w:val="13E00277"/>
    <w:rsid w:val="14972381"/>
    <w:rsid w:val="15E06B72"/>
    <w:rsid w:val="1647529D"/>
    <w:rsid w:val="176C6D66"/>
    <w:rsid w:val="17E838C7"/>
    <w:rsid w:val="187D1248"/>
    <w:rsid w:val="19EB628B"/>
    <w:rsid w:val="1A5346B2"/>
    <w:rsid w:val="1A6C5716"/>
    <w:rsid w:val="1C8A5300"/>
    <w:rsid w:val="1CD6640E"/>
    <w:rsid w:val="1CD677E1"/>
    <w:rsid w:val="1D102CD1"/>
    <w:rsid w:val="1DB2320A"/>
    <w:rsid w:val="1DF42C49"/>
    <w:rsid w:val="1DFB9EB9"/>
    <w:rsid w:val="1E4648C5"/>
    <w:rsid w:val="1EE07337"/>
    <w:rsid w:val="20097E44"/>
    <w:rsid w:val="20786F7F"/>
    <w:rsid w:val="20C343CF"/>
    <w:rsid w:val="20F9026B"/>
    <w:rsid w:val="21364A44"/>
    <w:rsid w:val="21E739B7"/>
    <w:rsid w:val="2236145A"/>
    <w:rsid w:val="23733FB9"/>
    <w:rsid w:val="27083E74"/>
    <w:rsid w:val="27D12D5C"/>
    <w:rsid w:val="28626BCE"/>
    <w:rsid w:val="28885261"/>
    <w:rsid w:val="2BD01F4A"/>
    <w:rsid w:val="2BDF81DE"/>
    <w:rsid w:val="2BF7423D"/>
    <w:rsid w:val="2C5D5807"/>
    <w:rsid w:val="2C646087"/>
    <w:rsid w:val="2CC76775"/>
    <w:rsid w:val="2CEA7FA8"/>
    <w:rsid w:val="2FB20410"/>
    <w:rsid w:val="2FBF0646"/>
    <w:rsid w:val="316F79B5"/>
    <w:rsid w:val="31A407BB"/>
    <w:rsid w:val="31E98122"/>
    <w:rsid w:val="328C02C7"/>
    <w:rsid w:val="33779BE9"/>
    <w:rsid w:val="33F16F60"/>
    <w:rsid w:val="34092494"/>
    <w:rsid w:val="352F5A23"/>
    <w:rsid w:val="37441A9D"/>
    <w:rsid w:val="377A24B3"/>
    <w:rsid w:val="37860FD1"/>
    <w:rsid w:val="37E50239"/>
    <w:rsid w:val="38896E55"/>
    <w:rsid w:val="38D429AD"/>
    <w:rsid w:val="38E82C00"/>
    <w:rsid w:val="39E9BB2A"/>
    <w:rsid w:val="3A3C40F8"/>
    <w:rsid w:val="3ADD61E3"/>
    <w:rsid w:val="3D4C6DFE"/>
    <w:rsid w:val="3DECA166"/>
    <w:rsid w:val="3EE11ADE"/>
    <w:rsid w:val="3FB51F40"/>
    <w:rsid w:val="4088145F"/>
    <w:rsid w:val="418813A5"/>
    <w:rsid w:val="431E31A2"/>
    <w:rsid w:val="43C2293A"/>
    <w:rsid w:val="43D321DE"/>
    <w:rsid w:val="449C230B"/>
    <w:rsid w:val="45214C8C"/>
    <w:rsid w:val="45774DEB"/>
    <w:rsid w:val="47BEC095"/>
    <w:rsid w:val="48943B97"/>
    <w:rsid w:val="48BD345D"/>
    <w:rsid w:val="48FF08C8"/>
    <w:rsid w:val="4962490E"/>
    <w:rsid w:val="49EEE013"/>
    <w:rsid w:val="4B3D6AD7"/>
    <w:rsid w:val="4B7D454C"/>
    <w:rsid w:val="4BCCDF20"/>
    <w:rsid w:val="4D057181"/>
    <w:rsid w:val="4D181DFA"/>
    <w:rsid w:val="4E0824B1"/>
    <w:rsid w:val="4E7F7A2B"/>
    <w:rsid w:val="4F4F3C57"/>
    <w:rsid w:val="4F7504F2"/>
    <w:rsid w:val="4FDE1971"/>
    <w:rsid w:val="501B13C5"/>
    <w:rsid w:val="50646F2B"/>
    <w:rsid w:val="527159AF"/>
    <w:rsid w:val="52FD1555"/>
    <w:rsid w:val="5300401C"/>
    <w:rsid w:val="53103DA4"/>
    <w:rsid w:val="546142C1"/>
    <w:rsid w:val="55887AAD"/>
    <w:rsid w:val="56F40992"/>
    <w:rsid w:val="577B1538"/>
    <w:rsid w:val="578A4BAA"/>
    <w:rsid w:val="57D554BA"/>
    <w:rsid w:val="57FF5C92"/>
    <w:rsid w:val="59C41AF9"/>
    <w:rsid w:val="5A7476F4"/>
    <w:rsid w:val="5B773003"/>
    <w:rsid w:val="5C554F53"/>
    <w:rsid w:val="5C66346B"/>
    <w:rsid w:val="5C9E323B"/>
    <w:rsid w:val="5D3346F0"/>
    <w:rsid w:val="5DFFF620"/>
    <w:rsid w:val="5E7C71A3"/>
    <w:rsid w:val="5F1F1B60"/>
    <w:rsid w:val="5F3FACEF"/>
    <w:rsid w:val="5F51025D"/>
    <w:rsid w:val="5F7612CD"/>
    <w:rsid w:val="5FB5AB75"/>
    <w:rsid w:val="5FDA669E"/>
    <w:rsid w:val="5FDE28E2"/>
    <w:rsid w:val="5FE7CB32"/>
    <w:rsid w:val="5FEFBEC0"/>
    <w:rsid w:val="5FFF25E9"/>
    <w:rsid w:val="5FFFD42E"/>
    <w:rsid w:val="6008114B"/>
    <w:rsid w:val="605431B1"/>
    <w:rsid w:val="61FA0935"/>
    <w:rsid w:val="62224444"/>
    <w:rsid w:val="62AD7C47"/>
    <w:rsid w:val="63162AE1"/>
    <w:rsid w:val="63236E7E"/>
    <w:rsid w:val="634F1F5D"/>
    <w:rsid w:val="64262B9C"/>
    <w:rsid w:val="64933323"/>
    <w:rsid w:val="64A01811"/>
    <w:rsid w:val="65941837"/>
    <w:rsid w:val="65C74675"/>
    <w:rsid w:val="65EF0F14"/>
    <w:rsid w:val="65F427D3"/>
    <w:rsid w:val="666D1BA3"/>
    <w:rsid w:val="667A54D2"/>
    <w:rsid w:val="66892F6F"/>
    <w:rsid w:val="679543E1"/>
    <w:rsid w:val="68000CD8"/>
    <w:rsid w:val="6AFF2EB6"/>
    <w:rsid w:val="6B531E22"/>
    <w:rsid w:val="6C324917"/>
    <w:rsid w:val="6D3F84FD"/>
    <w:rsid w:val="6DD014F1"/>
    <w:rsid w:val="6DE54844"/>
    <w:rsid w:val="6DFEE3A2"/>
    <w:rsid w:val="6E282713"/>
    <w:rsid w:val="6E526874"/>
    <w:rsid w:val="6F1468E1"/>
    <w:rsid w:val="6FAE095E"/>
    <w:rsid w:val="6FE748CC"/>
    <w:rsid w:val="708F3371"/>
    <w:rsid w:val="70DB30B2"/>
    <w:rsid w:val="7130216F"/>
    <w:rsid w:val="71573D01"/>
    <w:rsid w:val="72B13AFE"/>
    <w:rsid w:val="735E5A49"/>
    <w:rsid w:val="737264F3"/>
    <w:rsid w:val="740B04E1"/>
    <w:rsid w:val="7433426E"/>
    <w:rsid w:val="74FF3F3F"/>
    <w:rsid w:val="75FA3F86"/>
    <w:rsid w:val="76692C0E"/>
    <w:rsid w:val="76B79709"/>
    <w:rsid w:val="76BC23A9"/>
    <w:rsid w:val="76DF45C6"/>
    <w:rsid w:val="76FF0274"/>
    <w:rsid w:val="77413EC0"/>
    <w:rsid w:val="777FC2F7"/>
    <w:rsid w:val="77AAB6D8"/>
    <w:rsid w:val="77BE52F1"/>
    <w:rsid w:val="787B4617"/>
    <w:rsid w:val="789B3E8B"/>
    <w:rsid w:val="79206F6D"/>
    <w:rsid w:val="799724FB"/>
    <w:rsid w:val="79DD41E2"/>
    <w:rsid w:val="7A206948"/>
    <w:rsid w:val="7ACE224D"/>
    <w:rsid w:val="7AF012C7"/>
    <w:rsid w:val="7B3F36F6"/>
    <w:rsid w:val="7B7FDA8C"/>
    <w:rsid w:val="7BE8323B"/>
    <w:rsid w:val="7BEE8998"/>
    <w:rsid w:val="7BF61061"/>
    <w:rsid w:val="7BFF5AB7"/>
    <w:rsid w:val="7BFFA53F"/>
    <w:rsid w:val="7BFFDFAA"/>
    <w:rsid w:val="7CE41F2F"/>
    <w:rsid w:val="7D0C1EB5"/>
    <w:rsid w:val="7DBF46FC"/>
    <w:rsid w:val="7E4900AB"/>
    <w:rsid w:val="7ECB430D"/>
    <w:rsid w:val="7EFE1BC2"/>
    <w:rsid w:val="7F6F1448"/>
    <w:rsid w:val="7F7CAECC"/>
    <w:rsid w:val="7F7FA2C8"/>
    <w:rsid w:val="7FAB37C0"/>
    <w:rsid w:val="7FBC6512"/>
    <w:rsid w:val="7FCB4C94"/>
    <w:rsid w:val="7FCF2099"/>
    <w:rsid w:val="7FDEA4B1"/>
    <w:rsid w:val="7FFB9E50"/>
    <w:rsid w:val="7FFBC682"/>
    <w:rsid w:val="7FFFD7DF"/>
    <w:rsid w:val="8BFFAFE4"/>
    <w:rsid w:val="95DF6F4E"/>
    <w:rsid w:val="95FF8147"/>
    <w:rsid w:val="9DFFAB0A"/>
    <w:rsid w:val="ADBFA319"/>
    <w:rsid w:val="B83FB8AC"/>
    <w:rsid w:val="BBE3EDF9"/>
    <w:rsid w:val="BCF91BB1"/>
    <w:rsid w:val="BF3FED62"/>
    <w:rsid w:val="BFFE7BA5"/>
    <w:rsid w:val="CFF38159"/>
    <w:rsid w:val="CFF5BDB5"/>
    <w:rsid w:val="D78B2A31"/>
    <w:rsid w:val="DDDDB773"/>
    <w:rsid w:val="DE833319"/>
    <w:rsid w:val="E0F3F1EB"/>
    <w:rsid w:val="E6FF5A03"/>
    <w:rsid w:val="E9F5801D"/>
    <w:rsid w:val="E9FEDFD6"/>
    <w:rsid w:val="EB6700BC"/>
    <w:rsid w:val="EE2A4E37"/>
    <w:rsid w:val="EE7D4C9A"/>
    <w:rsid w:val="EFAEEE60"/>
    <w:rsid w:val="EFB02070"/>
    <w:rsid w:val="EFE9FD68"/>
    <w:rsid w:val="EFFFA7E6"/>
    <w:rsid w:val="F3FB5062"/>
    <w:rsid w:val="F5FF0D0B"/>
    <w:rsid w:val="F6BF48DA"/>
    <w:rsid w:val="F6EBEB31"/>
    <w:rsid w:val="F7F7FD0A"/>
    <w:rsid w:val="F7FD37A3"/>
    <w:rsid w:val="F9FB6211"/>
    <w:rsid w:val="FB7F15F4"/>
    <w:rsid w:val="FBFDACC4"/>
    <w:rsid w:val="FC77FCB9"/>
    <w:rsid w:val="FCBB5825"/>
    <w:rsid w:val="FCFFE8E1"/>
    <w:rsid w:val="FDCFD826"/>
    <w:rsid w:val="FDE82C9F"/>
    <w:rsid w:val="FE3E1E57"/>
    <w:rsid w:val="FEB39DB4"/>
    <w:rsid w:val="FEB7B062"/>
    <w:rsid w:val="FF69CB65"/>
    <w:rsid w:val="FF8A92CF"/>
    <w:rsid w:val="FFE544CF"/>
    <w:rsid w:val="FFEDA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qFormat/>
    <w:uiPriority w:val="99"/>
    <w:pPr>
      <w:keepNext/>
      <w:keepLines/>
      <w:spacing w:line="560" w:lineRule="exact"/>
      <w:outlineLvl w:val="2"/>
    </w:pPr>
    <w:rPr>
      <w:rFonts w:ascii="仿宋_GB2312" w:hAnsi="仿宋_GB2312"/>
      <w:b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Body Text"/>
    <w:basedOn w:val="1"/>
    <w:next w:val="7"/>
    <w:unhideWhenUsed/>
    <w:qFormat/>
    <w:uiPriority w:val="99"/>
    <w:pPr>
      <w:spacing w:after="120"/>
    </w:pPr>
  </w:style>
  <w:style w:type="paragraph" w:styleId="7">
    <w:name w:val="Body Text First Indent"/>
    <w:basedOn w:val="6"/>
    <w:next w:val="1"/>
    <w:unhideWhenUsed/>
    <w:qFormat/>
    <w:uiPriority w:val="99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Date"/>
    <w:basedOn w:val="1"/>
    <w:next w:val="1"/>
    <w:link w:val="31"/>
    <w:qFormat/>
    <w:uiPriority w:val="0"/>
    <w:pPr>
      <w:ind w:left="100" w:leftChars="2500"/>
    </w:pPr>
  </w:style>
  <w:style w:type="paragraph" w:styleId="10">
    <w:name w:val="endnote text"/>
    <w:basedOn w:val="1"/>
    <w:qFormat/>
    <w:uiPriority w:val="0"/>
    <w:pPr>
      <w:snapToGrid w:val="0"/>
      <w:jc w:val="left"/>
    </w:pPr>
  </w:style>
  <w:style w:type="paragraph" w:styleId="11">
    <w:name w:val="Balloon Text"/>
    <w:basedOn w:val="1"/>
    <w:next w:val="5"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next w:val="12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qFormat/>
    <w:uiPriority w:val="0"/>
    <w:rPr>
      <w:b/>
    </w:rPr>
  </w:style>
  <w:style w:type="character" w:styleId="19">
    <w:name w:val="page number"/>
    <w:basedOn w:val="17"/>
    <w:qFormat/>
    <w:uiPriority w:val="99"/>
    <w:rPr>
      <w:rFonts w:cs="Times New Roman"/>
    </w:rPr>
  </w:style>
  <w:style w:type="character" w:styleId="20">
    <w:name w:val="Emphasis"/>
    <w:qFormat/>
    <w:uiPriority w:val="0"/>
    <w:rPr>
      <w:i/>
    </w:rPr>
  </w:style>
  <w:style w:type="paragraph" w:customStyle="1" w:styleId="21">
    <w:name w:val="UserStyle_0"/>
    <w:basedOn w:val="22"/>
    <w:qFormat/>
    <w:uiPriority w:val="0"/>
    <w:pPr>
      <w:spacing w:after="120"/>
      <w:ind w:left="200" w:leftChars="200" w:firstLine="420" w:firstLineChars="200"/>
      <w:jc w:val="both"/>
      <w:textAlignment w:val="baseline"/>
    </w:pPr>
  </w:style>
  <w:style w:type="paragraph" w:customStyle="1" w:styleId="22">
    <w:name w:val="UserStyle_1"/>
    <w:basedOn w:val="1"/>
    <w:next w:val="1"/>
    <w:qFormat/>
    <w:uiPriority w:val="0"/>
    <w:pPr>
      <w:ind w:firstLine="200" w:firstLineChars="200"/>
    </w:pPr>
    <w:rPr>
      <w:color w:val="000000"/>
      <w:szCs w:val="22"/>
    </w:rPr>
  </w:style>
  <w:style w:type="paragraph" w:customStyle="1" w:styleId="23">
    <w:name w:val="正文-公1"/>
    <w:basedOn w:val="1"/>
    <w:next w:val="13"/>
    <w:qFormat/>
    <w:uiPriority w:val="0"/>
    <w:pPr>
      <w:ind w:firstLine="200" w:firstLineChars="200"/>
    </w:pPr>
    <w:rPr>
      <w:color w:val="000000"/>
      <w:szCs w:val="22"/>
    </w:rPr>
  </w:style>
  <w:style w:type="paragraph" w:customStyle="1" w:styleId="24">
    <w:name w:val="Default"/>
    <w:basedOn w:val="1"/>
    <w:semiHidden/>
    <w:qFormat/>
    <w:uiPriority w:val="0"/>
    <w:pPr>
      <w:autoSpaceDE w:val="0"/>
      <w:autoSpaceDN w:val="0"/>
      <w:adjustRightInd w:val="0"/>
      <w:jc w:val="left"/>
    </w:pPr>
    <w:rPr>
      <w:rFonts w:ascii="方正仿宋_GBK" w:hAnsi="方正仿宋_GBK"/>
      <w:color w:val="000000"/>
      <w:kern w:val="0"/>
      <w:sz w:val="24"/>
      <w:szCs w:val="24"/>
    </w:rPr>
  </w:style>
  <w:style w:type="paragraph" w:customStyle="1" w:styleId="25">
    <w:name w:val="Heading3"/>
    <w:basedOn w:val="1"/>
    <w:next w:val="1"/>
    <w:qFormat/>
    <w:uiPriority w:val="0"/>
    <w:pPr>
      <w:keepNext/>
      <w:keepLines/>
      <w:spacing w:before="260" w:after="260" w:line="416" w:lineRule="auto"/>
    </w:pPr>
    <w:rPr>
      <w:rFonts w:cs="Times New Roman"/>
      <w:b/>
      <w:bCs/>
      <w:sz w:val="32"/>
      <w:szCs w:val="32"/>
    </w:rPr>
  </w:style>
  <w:style w:type="character" w:customStyle="1" w:styleId="26">
    <w:name w:val="NormalCharacter"/>
    <w:semiHidden/>
    <w:qFormat/>
    <w:uiPriority w:val="0"/>
  </w:style>
  <w:style w:type="table" w:customStyle="1" w:styleId="2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8">
    <w:name w:val="NormalIndent"/>
    <w:basedOn w:val="1"/>
    <w:next w:val="1"/>
    <w:qFormat/>
    <w:uiPriority w:val="0"/>
    <w:pPr>
      <w:ind w:firstLine="200" w:firstLineChars="200"/>
    </w:pPr>
  </w:style>
  <w:style w:type="paragraph" w:customStyle="1" w:styleId="29">
    <w:name w:val="BodyText"/>
    <w:basedOn w:val="1"/>
    <w:qFormat/>
    <w:uiPriority w:val="0"/>
    <w:pPr>
      <w:spacing w:after="120"/>
    </w:pPr>
  </w:style>
  <w:style w:type="paragraph" w:customStyle="1" w:styleId="30">
    <w:name w:val="BodyTextIndent"/>
    <w:basedOn w:val="1"/>
    <w:next w:val="1"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character" w:customStyle="1" w:styleId="31">
    <w:name w:val="日期 Char"/>
    <w:link w:val="9"/>
    <w:qFormat/>
    <w:uiPriority w:val="0"/>
    <w:rPr>
      <w:rFonts w:ascii="Calibri" w:hAnsi="Calibri"/>
      <w:kern w:val="2"/>
      <w:sz w:val="21"/>
      <w:szCs w:val="24"/>
    </w:rPr>
  </w:style>
  <w:style w:type="paragraph" w:customStyle="1" w:styleId="32">
    <w:name w:val="Acetate"/>
    <w:basedOn w:val="1"/>
    <w:next w:val="1"/>
    <w:qFormat/>
    <w:uiPriority w:val="0"/>
    <w:rPr>
      <w:rFonts w:ascii="仿宋" w:hAnsi="仿宋" w:eastAsia="仿宋"/>
      <w:sz w:val="18"/>
      <w:szCs w:val="18"/>
    </w:rPr>
  </w:style>
  <w:style w:type="paragraph" w:customStyle="1" w:styleId="33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34">
    <w:name w:val="BodyText1I"/>
    <w:basedOn w:val="29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customStyle="1" w:styleId="35">
    <w:name w:val="BodyText1I2"/>
    <w:basedOn w:val="30"/>
    <w:qFormat/>
    <w:uiPriority w:val="0"/>
    <w:pPr>
      <w:ind w:firstLine="420" w:firstLineChars="200"/>
    </w:pPr>
  </w:style>
  <w:style w:type="paragraph" w:customStyle="1" w:styleId="36">
    <w:name w:val="UserStyle_2"/>
    <w:basedOn w:val="37"/>
    <w:qFormat/>
    <w:uiPriority w:val="0"/>
    <w:pPr>
      <w:ind w:firstLine="420" w:firstLineChars="200"/>
    </w:pPr>
  </w:style>
  <w:style w:type="paragraph" w:customStyle="1" w:styleId="37">
    <w:name w:val="UserStyle_3"/>
    <w:basedOn w:val="1"/>
    <w:next w:val="1"/>
    <w:qFormat/>
    <w:uiPriority w:val="0"/>
    <w:pPr>
      <w:spacing w:after="120"/>
      <w:ind w:left="200" w:leftChars="200"/>
    </w:pPr>
  </w:style>
  <w:style w:type="character" w:customStyle="1" w:styleId="38">
    <w:name w:val="UserStyle_4"/>
    <w:semiHidden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customStyle="1" w:styleId="39">
    <w:name w:val="UserStyle_5"/>
    <w:basedOn w:val="1"/>
    <w:qFormat/>
    <w:uiPriority w:val="0"/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 textRotate="1"/>
    <customShpInfo spid="_x0000_s3074"/>
    <customShpInfo spid="_x0000_s3073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12</Pages>
  <Words>4266</Words>
  <Characters>4394</Characters>
  <Lines>69</Lines>
  <Paragraphs>19</Paragraphs>
  <TotalTime>5</TotalTime>
  <ScaleCrop>false</ScaleCrop>
  <LinksUpToDate>false</LinksUpToDate>
  <CharactersWithSpaces>4434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2022-09-30T16:36:00Z</dcterms:created>
  <dc:creator>Administrator</dc:creator>
  <cp:lastModifiedBy>林</cp:lastModifiedBy>
  <cp:lastPrinted>2025-06-27T10:27:00Z</cp:lastPrinted>
  <dcterms:modified xsi:type="dcterms:W3CDTF">2025-07-10T13:08:58Z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141842D36A244FD6A3F20DAEB6ABC9F5</vt:lpwstr>
  </property>
  <property fmtid="{D5CDD505-2E9C-101B-9397-08002B2CF9AE}" pid="4" name="KSOTemplateDocerSaveRecord">
    <vt:lpwstr>eyJoZGlkIjoiMGRjMWFkNmYwYmE3NGM2NjA4OTAxN2I4MjVjYzBmOTMiLCJ1c2VySWQiOiI0NTc2NDc2MTMifQ==</vt:lpwstr>
  </property>
</Properties>
</file>