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62104A">
      <w:pPr>
        <w:pStyle w:val="6"/>
        <w:numPr>
          <w:ilvl w:val="1"/>
          <w:numId w:val="0"/>
        </w:numPr>
        <w:ind w:leftChars="0"/>
        <w:rPr>
          <w:rFonts w:hint="eastAsia" w:ascii="Times New Roman" w:hAnsi="Times New Roman" w:cs="Times New Roman"/>
          <w:color w:val="000000" w:themeColor="text1"/>
          <w:lang w:val="en-US" w:eastAsia="zh-CN"/>
          <w14:textFill>
            <w14:solidFill>
              <w14:schemeClr w14:val="tx1"/>
            </w14:solidFill>
          </w14:textFill>
        </w:rPr>
      </w:pPr>
      <w:bookmarkStart w:id="0" w:name="_GoBack"/>
      <w:bookmarkEnd w:id="0"/>
      <w:r>
        <w:rPr>
          <w:rFonts w:hint="eastAsia"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总体建设内容</w:t>
      </w:r>
    </w:p>
    <w:p w14:paraId="76402985">
      <w:pPr>
        <w:pStyle w:val="2"/>
        <w:numPr>
          <w:ilvl w:val="0"/>
          <w:numId w:val="0"/>
        </w:numPr>
        <w:rPr>
          <w:rFonts w:hint="eastAsia" w:ascii="Times New Roman" w:hAnsi="Times New Roman"/>
          <w:sz w:val="28"/>
          <w:szCs w:val="28"/>
        </w:rPr>
      </w:pPr>
      <w:r>
        <w:rPr>
          <w:rFonts w:hint="eastAsia" w:ascii="Times New Roman" w:hAnsi="Times New Roman"/>
          <w:sz w:val="28"/>
          <w:szCs w:val="28"/>
          <w:lang w:val="en-US" w:eastAsia="zh-CN"/>
        </w:rPr>
        <w:t>1.1</w:t>
      </w:r>
      <w:r>
        <w:rPr>
          <w:rFonts w:hint="eastAsia" w:ascii="Times New Roman" w:hAnsi="Times New Roman"/>
          <w:sz w:val="28"/>
          <w:szCs w:val="28"/>
        </w:rPr>
        <w:t>开展污水监管提升项目</w:t>
      </w:r>
    </w:p>
    <w:p w14:paraId="0AF6087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1.建设园区污水入河排污口视频监控系统</w:t>
      </w:r>
      <w:r>
        <w:rPr>
          <w:rFonts w:hint="eastAsia" w:ascii="宋体" w:hAnsi="宋体" w:cs="宋体"/>
          <w:b/>
          <w:bCs/>
          <w:sz w:val="24"/>
          <w:szCs w:val="24"/>
          <w:lang w:val="en-US" w:eastAsia="zh-CN"/>
        </w:rPr>
        <w:t>2</w:t>
      </w:r>
      <w:r>
        <w:rPr>
          <w:rFonts w:hint="eastAsia" w:ascii="宋体" w:hAnsi="宋体" w:eastAsia="宋体" w:cs="宋体"/>
          <w:b/>
          <w:bCs/>
          <w:sz w:val="24"/>
          <w:szCs w:val="24"/>
        </w:rPr>
        <w:t>套；</w:t>
      </w:r>
    </w:p>
    <w:p w14:paraId="576B9C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园区“一园三片”配套建设三处园区污水处理厂，分别设有入河排污口，根据污水零直排区建设要求与《入河入海排污口监督管理技术指南 入河排污口规范化建设》相关要求，应分别在入河排污口处设置视频监控系统。</w:t>
      </w:r>
    </w:p>
    <w:p w14:paraId="14D995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视频监控单元由前端系统、传输网络和监控平台三部分组成，可远程观察取水工程（取样水泵、浮台等）工作状况，水站周边的水位、流量等水文情况，同时也可观察水站、供电线路等周边环境。其中，前端系统主要对监控区域现场视音频、环境信息、报警信息等进行采集、编码、储存及上传，并通过客户端平台预置的规则进行自动化联动；传输网络主要用于前端与平台、平台之间的通信，确保前端系统的视音频、环境信息、报警信息可实时稳定上传至监控中心；监控平台主要用于对监控设备的控制和满足用户查看环境信息、视音频资料。</w:t>
      </w:r>
    </w:p>
    <w:p w14:paraId="24D625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视频监控传输需满足《公共安全视频监控联网系统信息传输、交换、控制技术要求》(GB/T 28181)。</w:t>
      </w:r>
    </w:p>
    <w:p w14:paraId="3E91BC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基座宜采用混凝土材质，基座的浇筑应满足后期线缆敷设需要，基座埋设在基坑内，基坑的开挖深度满足立杆抗风、抗震等稳定性要求;</w:t>
      </w:r>
    </w:p>
    <w:p w14:paraId="60755C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立杆高度满足前端视频监控器使用及检修需要，立杆表层应进行防腐防锈处理，底部与基座稳固连接，设置防雷及接地系统;</w:t>
      </w:r>
    </w:p>
    <w:p w14:paraId="5C68E7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高清数字摄像头水平分辨率不低于 1080P，网络视频录像机硬盘满足当前站点 90 天的视频存储容量要求;</w:t>
      </w:r>
    </w:p>
    <w:p w14:paraId="7E007B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设备箱空间尺寸满足所有箱体内设备的安装布线要求，体宜采用不锈钢材质，设置百叶窗散热，并满足防水、防虫、防盗等要求;</w:t>
      </w:r>
    </w:p>
    <w:p w14:paraId="2F91D4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路由器应支持多种数据采集和视频监控设备，满足 4G及以上通信要求，支持全网通信制式</w:t>
      </w:r>
      <w:r>
        <w:rPr>
          <w:rFonts w:hint="eastAsia" w:ascii="宋体" w:hAnsi="宋体" w:eastAsia="宋体" w:cs="宋体"/>
          <w:sz w:val="24"/>
          <w:szCs w:val="24"/>
          <w:lang w:eastAsia="zh-CN"/>
        </w:rPr>
        <w:t>。</w:t>
      </w:r>
    </w:p>
    <w:p w14:paraId="6DB5C9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入河排污口应安装网络高清枪式固定摄像机，安装在靠近取水口岸边，安装高度应满足50年一遇的防洪要求，固定监控视角。用于监控取水口及站房周边情况；红外视频照射距离&gt;50m，</w:t>
      </w:r>
    </w:p>
    <w:p w14:paraId="317450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安装完成后视频信号需接入园区智慧平台。</w:t>
      </w:r>
    </w:p>
    <w:tbl>
      <w:tblPr>
        <w:tblStyle w:val="4"/>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4870"/>
        <w:gridCol w:w="2400"/>
      </w:tblGrid>
      <w:tr w14:paraId="26B2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794B6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4870" w:type="dxa"/>
            <w:vAlign w:val="center"/>
          </w:tcPr>
          <w:p w14:paraId="049072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建设内容</w:t>
            </w:r>
          </w:p>
        </w:tc>
        <w:tc>
          <w:tcPr>
            <w:tcW w:w="2400" w:type="dxa"/>
            <w:vAlign w:val="center"/>
          </w:tcPr>
          <w:p w14:paraId="639EBD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数量</w:t>
            </w:r>
          </w:p>
        </w:tc>
      </w:tr>
      <w:tr w14:paraId="253B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4455C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1.1.1</w:t>
            </w:r>
          </w:p>
        </w:tc>
        <w:tc>
          <w:tcPr>
            <w:tcW w:w="4870" w:type="dxa"/>
            <w:vAlign w:val="center"/>
          </w:tcPr>
          <w:p w14:paraId="7BED06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入河排污口视频监控枪式摄像机</w:t>
            </w:r>
          </w:p>
        </w:tc>
        <w:tc>
          <w:tcPr>
            <w:tcW w:w="2400" w:type="dxa"/>
            <w:vAlign w:val="center"/>
          </w:tcPr>
          <w:p w14:paraId="74658A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w:t>
            </w:r>
            <w:r>
              <w:rPr>
                <w:rFonts w:hint="eastAsia" w:ascii="宋体" w:hAnsi="宋体" w:eastAsia="宋体" w:cs="宋体"/>
                <w:sz w:val="24"/>
                <w:szCs w:val="24"/>
                <w:vertAlign w:val="baseline"/>
                <w:lang w:val="en-US" w:eastAsia="zh-CN"/>
              </w:rPr>
              <w:t>套</w:t>
            </w:r>
          </w:p>
        </w:tc>
      </w:tr>
      <w:tr w14:paraId="2445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076C0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1.1.2</w:t>
            </w:r>
          </w:p>
        </w:tc>
        <w:tc>
          <w:tcPr>
            <w:tcW w:w="4870" w:type="dxa"/>
            <w:vAlign w:val="center"/>
          </w:tcPr>
          <w:p w14:paraId="403CB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硬盘录像机</w:t>
            </w:r>
          </w:p>
        </w:tc>
        <w:tc>
          <w:tcPr>
            <w:tcW w:w="2400" w:type="dxa"/>
            <w:vAlign w:val="center"/>
          </w:tcPr>
          <w:p w14:paraId="6C2889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w:t>
            </w:r>
            <w:r>
              <w:rPr>
                <w:rFonts w:hint="eastAsia" w:ascii="宋体" w:hAnsi="宋体" w:eastAsia="宋体" w:cs="宋体"/>
                <w:sz w:val="24"/>
                <w:szCs w:val="24"/>
                <w:vertAlign w:val="baseline"/>
                <w:lang w:val="en-US" w:eastAsia="zh-CN"/>
              </w:rPr>
              <w:t>套</w:t>
            </w:r>
          </w:p>
        </w:tc>
      </w:tr>
      <w:tr w14:paraId="3EB2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9F53F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1.1.3</w:t>
            </w:r>
          </w:p>
        </w:tc>
        <w:tc>
          <w:tcPr>
            <w:tcW w:w="4870" w:type="dxa"/>
            <w:vAlign w:val="center"/>
          </w:tcPr>
          <w:p w14:paraId="56261B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辅材与施工</w:t>
            </w:r>
          </w:p>
        </w:tc>
        <w:tc>
          <w:tcPr>
            <w:tcW w:w="2400" w:type="dxa"/>
            <w:vAlign w:val="center"/>
          </w:tcPr>
          <w:p w14:paraId="13B357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1项</w:t>
            </w:r>
          </w:p>
        </w:tc>
      </w:tr>
      <w:tr w14:paraId="3424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420" w:type="dxa"/>
            <w:vAlign w:val="center"/>
          </w:tcPr>
          <w:p w14:paraId="23F9B3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1.1.4</w:t>
            </w:r>
          </w:p>
        </w:tc>
        <w:tc>
          <w:tcPr>
            <w:tcW w:w="4870" w:type="dxa"/>
            <w:vAlign w:val="center"/>
          </w:tcPr>
          <w:p w14:paraId="390FDC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联网调试</w:t>
            </w:r>
          </w:p>
        </w:tc>
        <w:tc>
          <w:tcPr>
            <w:tcW w:w="2400" w:type="dxa"/>
            <w:vAlign w:val="center"/>
          </w:tcPr>
          <w:p w14:paraId="09AE11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1项</w:t>
            </w:r>
          </w:p>
        </w:tc>
      </w:tr>
    </w:tbl>
    <w:p w14:paraId="2F04C62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2.开展园区污水公共明管管网介质、流向标识</w:t>
      </w:r>
      <w:r>
        <w:rPr>
          <w:rFonts w:hint="eastAsia" w:ascii="宋体" w:hAnsi="宋体" w:cs="宋体"/>
          <w:b/>
          <w:bCs/>
          <w:sz w:val="24"/>
          <w:szCs w:val="24"/>
          <w:lang w:val="en-US" w:eastAsia="zh-CN"/>
        </w:rPr>
        <w:t>2</w:t>
      </w:r>
      <w:r>
        <w:rPr>
          <w:rFonts w:hint="eastAsia" w:ascii="宋体" w:hAnsi="宋体" w:eastAsia="宋体" w:cs="宋体"/>
          <w:b/>
          <w:bCs/>
          <w:sz w:val="24"/>
          <w:szCs w:val="24"/>
        </w:rPr>
        <w:t>套</w:t>
      </w:r>
      <w:r>
        <w:rPr>
          <w:rFonts w:hint="eastAsia" w:ascii="宋体" w:hAnsi="宋体" w:eastAsia="宋体" w:cs="宋体"/>
          <w:b/>
          <w:bCs/>
          <w:sz w:val="24"/>
          <w:szCs w:val="24"/>
          <w:lang w:eastAsia="zh-CN"/>
        </w:rPr>
        <w:t>、</w:t>
      </w:r>
      <w:r>
        <w:rPr>
          <w:rFonts w:hint="eastAsia" w:ascii="宋体" w:hAnsi="宋体" w:eastAsia="宋体" w:cs="宋体"/>
          <w:b/>
          <w:bCs/>
          <w:sz w:val="24"/>
          <w:szCs w:val="24"/>
        </w:rPr>
        <w:t>1处泵站</w:t>
      </w:r>
      <w:r>
        <w:rPr>
          <w:rFonts w:hint="eastAsia" w:ascii="宋体" w:hAnsi="宋体" w:eastAsia="宋体" w:cs="宋体"/>
          <w:b/>
          <w:bCs/>
          <w:sz w:val="24"/>
          <w:szCs w:val="24"/>
          <w:lang w:val="en-US" w:eastAsia="zh-CN"/>
        </w:rPr>
        <w:t>以及污水管网相关闸阀设施</w:t>
      </w:r>
      <w:r>
        <w:rPr>
          <w:rFonts w:hint="eastAsia" w:ascii="宋体" w:hAnsi="宋体" w:eastAsia="宋体" w:cs="宋体"/>
          <w:b/>
          <w:bCs/>
          <w:sz w:val="24"/>
          <w:szCs w:val="24"/>
        </w:rPr>
        <w:t>标识化建设；</w:t>
      </w:r>
    </w:p>
    <w:p w14:paraId="353F47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大路口、福宝、金星片均开展明管化建设，污水明管管道、污水提升泵站等应按照《工业管道颜色及标识规范》、《城市污水处理厂管道和设备色标》、《城市综合管廊标识设置规范》等要求进行色环和文字标识，标明污水名称及管路走向，建立排水管网图。阀门应加挂“常开”或“常关”标识牌。</w:t>
      </w:r>
    </w:p>
    <w:p w14:paraId="6161ED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污水管道可按以下方式进行标识：</w:t>
      </w:r>
    </w:p>
    <w:p w14:paraId="7B038F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a)在管道上以宽为 150mm的色环标识;</w:t>
      </w:r>
    </w:p>
    <w:p w14:paraId="5689D1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b)在管道上以长方形的识别色标牌标识;</w:t>
      </w:r>
    </w:p>
    <w:p w14:paraId="1A2903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c)在管道上以带箭头的长方形识别色标牌标识;</w:t>
      </w:r>
    </w:p>
    <w:p w14:paraId="248E75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d)在管道上以系挂的识别色标牌标识。</w:t>
      </w:r>
    </w:p>
    <w:p w14:paraId="06169C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工业管道的识别符号由物质名称、流向和主要工艺参数等组成，其标识应符合下列要求：</w:t>
      </w:r>
    </w:p>
    <w:p w14:paraId="0D0D05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①标识的设置应满足综合管廊运行、维护和安全管理要求；</w:t>
      </w:r>
    </w:p>
    <w:p w14:paraId="72B024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②标识应设置在醒目位置,不应被遮挡,且不应影响综合管廊运行维护；</w:t>
      </w:r>
    </w:p>
    <w:p w14:paraId="4EAD97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③重复显示的标识安装间隔不应大于 100 m；</w:t>
      </w:r>
    </w:p>
    <w:p w14:paraId="3A77AB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④同一区域、同一类标识的材质、形式、颜色应保持一致。</w:t>
      </w:r>
    </w:p>
    <w:p w14:paraId="289BB4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泵站标识牌形状宜为矩形,宜采用蓝底白字或白底黑(蓝)字。具体样式可参照《城市综合管廊标识设置规范》附录A。</w:t>
      </w:r>
    </w:p>
    <w:p w14:paraId="31CAF1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tbl>
      <w:tblPr>
        <w:tblStyle w:val="4"/>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4870"/>
        <w:gridCol w:w="2400"/>
      </w:tblGrid>
      <w:tr w14:paraId="602D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FC300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4870" w:type="dxa"/>
            <w:vAlign w:val="center"/>
          </w:tcPr>
          <w:p w14:paraId="586DB7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建设内容</w:t>
            </w:r>
          </w:p>
        </w:tc>
        <w:tc>
          <w:tcPr>
            <w:tcW w:w="2400" w:type="dxa"/>
            <w:vAlign w:val="center"/>
          </w:tcPr>
          <w:p w14:paraId="5C6EE4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数量</w:t>
            </w:r>
          </w:p>
        </w:tc>
      </w:tr>
      <w:tr w14:paraId="685E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80A0E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1.2.1</w:t>
            </w:r>
          </w:p>
        </w:tc>
        <w:tc>
          <w:tcPr>
            <w:tcW w:w="4870" w:type="dxa"/>
            <w:vAlign w:val="center"/>
          </w:tcPr>
          <w:p w14:paraId="4E1645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污水明管标识建设（福宝片污水管长</w:t>
            </w:r>
            <w:r>
              <w:rPr>
                <w:rFonts w:hint="eastAsia" w:ascii="宋体" w:hAnsi="宋体" w:cs="宋体"/>
                <w:sz w:val="24"/>
                <w:szCs w:val="24"/>
                <w:vertAlign w:val="baseline"/>
                <w:lang w:val="en-US" w:eastAsia="zh-CN"/>
              </w:rPr>
              <w:t>0.8</w:t>
            </w:r>
            <w:r>
              <w:rPr>
                <w:rFonts w:hint="eastAsia" w:ascii="宋体" w:hAnsi="宋体" w:eastAsia="宋体" w:cs="宋体"/>
                <w:sz w:val="24"/>
                <w:szCs w:val="24"/>
                <w:vertAlign w:val="baseline"/>
                <w:lang w:val="en-US" w:eastAsia="zh-CN"/>
              </w:rPr>
              <w:t>km，大路口片污水管长1.</w:t>
            </w:r>
            <w:r>
              <w:rPr>
                <w:rFonts w:hint="eastAsia" w:ascii="宋体" w:hAnsi="宋体" w:cs="宋体"/>
                <w:sz w:val="24"/>
                <w:szCs w:val="24"/>
                <w:vertAlign w:val="baseline"/>
                <w:lang w:val="en-US" w:eastAsia="zh-CN"/>
              </w:rPr>
              <w:t>7</w:t>
            </w:r>
            <w:r>
              <w:rPr>
                <w:rFonts w:hint="eastAsia" w:ascii="宋体" w:hAnsi="宋体" w:eastAsia="宋体" w:cs="宋体"/>
                <w:sz w:val="24"/>
                <w:szCs w:val="24"/>
                <w:vertAlign w:val="baseline"/>
                <w:lang w:val="en-US" w:eastAsia="zh-CN"/>
              </w:rPr>
              <w:t>km）</w:t>
            </w:r>
          </w:p>
        </w:tc>
        <w:tc>
          <w:tcPr>
            <w:tcW w:w="2400" w:type="dxa"/>
            <w:vAlign w:val="center"/>
          </w:tcPr>
          <w:p w14:paraId="47EF87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约</w:t>
            </w:r>
            <w:r>
              <w:rPr>
                <w:rFonts w:hint="eastAsia" w:ascii="宋体" w:hAnsi="宋体" w:cs="宋体"/>
                <w:sz w:val="24"/>
                <w:szCs w:val="24"/>
                <w:vertAlign w:val="baseline"/>
                <w:lang w:val="en-US" w:eastAsia="zh-CN"/>
              </w:rPr>
              <w:t>25</w:t>
            </w:r>
            <w:r>
              <w:rPr>
                <w:rFonts w:hint="eastAsia" w:ascii="宋体" w:hAnsi="宋体" w:eastAsia="宋体" w:cs="宋体"/>
                <w:sz w:val="24"/>
                <w:szCs w:val="24"/>
                <w:vertAlign w:val="baseline"/>
                <w:lang w:val="en-US" w:eastAsia="zh-CN"/>
              </w:rPr>
              <w:t>处</w:t>
            </w:r>
          </w:p>
        </w:tc>
      </w:tr>
      <w:tr w14:paraId="0FC8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636FD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1.2.2</w:t>
            </w:r>
          </w:p>
        </w:tc>
        <w:tc>
          <w:tcPr>
            <w:tcW w:w="4870" w:type="dxa"/>
            <w:vAlign w:val="center"/>
          </w:tcPr>
          <w:p w14:paraId="6AC61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泵站标识牌</w:t>
            </w:r>
          </w:p>
        </w:tc>
        <w:tc>
          <w:tcPr>
            <w:tcW w:w="2400" w:type="dxa"/>
            <w:vAlign w:val="center"/>
          </w:tcPr>
          <w:p w14:paraId="7A185C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1处</w:t>
            </w:r>
          </w:p>
        </w:tc>
      </w:tr>
      <w:tr w14:paraId="18CA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10089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1.2.3</w:t>
            </w:r>
          </w:p>
        </w:tc>
        <w:tc>
          <w:tcPr>
            <w:tcW w:w="4870" w:type="dxa"/>
            <w:vAlign w:val="center"/>
          </w:tcPr>
          <w:p w14:paraId="5E6E8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闸阀标识牌</w:t>
            </w:r>
          </w:p>
        </w:tc>
        <w:tc>
          <w:tcPr>
            <w:tcW w:w="2400" w:type="dxa"/>
            <w:vAlign w:val="center"/>
          </w:tcPr>
          <w:p w14:paraId="508119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约17处</w:t>
            </w:r>
          </w:p>
        </w:tc>
      </w:tr>
      <w:tr w14:paraId="2061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420" w:type="dxa"/>
            <w:vAlign w:val="center"/>
          </w:tcPr>
          <w:p w14:paraId="3AD0E9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1.2.4</w:t>
            </w:r>
          </w:p>
        </w:tc>
        <w:tc>
          <w:tcPr>
            <w:tcW w:w="4870" w:type="dxa"/>
            <w:vAlign w:val="center"/>
          </w:tcPr>
          <w:p w14:paraId="47198C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辅材与施工</w:t>
            </w:r>
          </w:p>
        </w:tc>
        <w:tc>
          <w:tcPr>
            <w:tcW w:w="2400" w:type="dxa"/>
            <w:vAlign w:val="center"/>
          </w:tcPr>
          <w:p w14:paraId="051487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1项</w:t>
            </w:r>
          </w:p>
        </w:tc>
      </w:tr>
    </w:tbl>
    <w:p w14:paraId="4C5FFD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14:paraId="0E46B02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3.建设东莹</w:t>
      </w:r>
      <w:r>
        <w:rPr>
          <w:rFonts w:hint="eastAsia" w:ascii="宋体" w:hAnsi="宋体" w:cs="宋体"/>
          <w:b/>
          <w:bCs/>
          <w:sz w:val="24"/>
          <w:szCs w:val="24"/>
          <w:lang w:val="en-US" w:eastAsia="zh-CN"/>
        </w:rPr>
        <w:t>1</w:t>
      </w:r>
      <w:r>
        <w:rPr>
          <w:rFonts w:hint="eastAsia" w:ascii="宋体" w:hAnsi="宋体" w:eastAsia="宋体" w:cs="宋体"/>
          <w:b/>
          <w:bCs/>
          <w:sz w:val="24"/>
          <w:szCs w:val="24"/>
        </w:rPr>
        <w:t>处一企一管远控闸阀</w:t>
      </w:r>
      <w:r>
        <w:rPr>
          <w:rFonts w:hint="eastAsia" w:ascii="宋体" w:hAnsi="宋体" w:eastAsia="宋体" w:cs="宋体"/>
          <w:b/>
          <w:bCs/>
          <w:sz w:val="24"/>
          <w:szCs w:val="24"/>
          <w:lang w:val="en-US" w:eastAsia="zh-CN"/>
        </w:rPr>
        <w:t>与流量计</w:t>
      </w:r>
      <w:r>
        <w:rPr>
          <w:rFonts w:hint="eastAsia" w:ascii="宋体" w:hAnsi="宋体" w:eastAsia="宋体" w:cs="宋体"/>
          <w:b/>
          <w:bCs/>
          <w:sz w:val="24"/>
          <w:szCs w:val="24"/>
        </w:rPr>
        <w:t>。</w:t>
      </w:r>
    </w:p>
    <w:p w14:paraId="038948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园区计划在企业污水“一企一管”排至园区污水主管前加装流量计与自动化控制闸阀系统，当智慧平台显示企业接入的监测因子在线数值超标，或排水水量超过协议水量时可平台远程指挥闸止企业“一企一管”排水路径。“一企一管”控制逻辑图如下图所示：</w:t>
      </w:r>
    </w:p>
    <w:p w14:paraId="16F037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object>
          <v:shape id="_x0000_i1025" o:spt="75" type="#_x0000_t75" style="height:331pt;width:106.4pt;" o:ole="t" filled="f" o:preferrelative="t" stroked="f" coordsize="21600,21600">
            <v:path/>
            <v:fill on="f" focussize="0,0"/>
            <v:stroke on="f"/>
            <v:imagedata r:id="rId5" o:title=""/>
            <o:lock v:ext="edit" aspectratio="f"/>
            <w10:wrap type="none"/>
            <w10:anchorlock/>
          </v:shape>
          <o:OLEObject Type="Embed" ProgID="Visio.Drawing.11" ShapeID="_x0000_i1025" DrawAspect="Content" ObjectID="_1468075725" r:id="rId4">
            <o:LockedField>false</o:LockedField>
          </o:OLEObject>
        </w:object>
      </w:r>
    </w:p>
    <w:p w14:paraId="1356F1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该项目主要涉及电磁流量计、污水管道电动阀门、远程控制终端建设、模块功能开发与集成。控制柜可联网至园区平台，可远程控制电动阀门开关.</w:t>
      </w:r>
    </w:p>
    <w:p w14:paraId="413966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现地自动化控制模块开发需求：</w:t>
      </w:r>
    </w:p>
    <w:p w14:paraId="252EC1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软件模块是整个“一企一管”系统的控制中枢，负责处理各水质自动监测站及企业端远程控制系统上传的检测数据和信息，并向水质自动检测站和企业端远程控制系统发送控制指令。</w:t>
      </w:r>
    </w:p>
    <w:p w14:paraId="4A6B8B78">
      <w:pPr>
        <w:keepLines w:val="0"/>
        <w:pageBreakBefore w:val="0"/>
        <w:widowControl w:val="0"/>
        <w:numPr>
          <w:ilvl w:val="0"/>
          <w:numId w:val="2"/>
        </w:numPr>
        <w:kinsoku/>
        <w:wordWrap/>
        <w:overflowPunct/>
        <w:topLinePunct w:val="0"/>
        <w:autoSpaceDE/>
        <w:autoSpaceDN/>
        <w:bidi w:val="0"/>
        <w:adjustRightInd w:val="0"/>
        <w:snapToGrid w:val="0"/>
        <w:spacing w:line="500" w:lineRule="exact"/>
        <w:ind w:left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一企一管监控系统</w:t>
      </w:r>
    </w:p>
    <w:p w14:paraId="7241B141">
      <w:pPr>
        <w:keepLines w:val="0"/>
        <w:pageBreakBefore w:val="0"/>
        <w:widowControl w:val="0"/>
        <w:numPr>
          <w:ilvl w:val="0"/>
          <w:numId w:val="0"/>
        </w:numPr>
        <w:kinsoku/>
        <w:wordWrap/>
        <w:overflowPunct/>
        <w:topLinePunct w:val="0"/>
        <w:autoSpaceDE/>
        <w:autoSpaceDN/>
        <w:bidi w:val="0"/>
        <w:adjustRightInd w:val="0"/>
        <w:snapToGrid w:val="0"/>
        <w:spacing w:line="500" w:lineRule="exact"/>
        <w:jc w:val="both"/>
        <w:textAlignment w:val="auto"/>
        <w:rPr>
          <w:rFonts w:hint="eastAsia" w:ascii="宋体" w:hAnsi="宋体" w:eastAsia="宋体" w:cs="宋体"/>
          <w:color w:val="auto"/>
          <w:sz w:val="24"/>
          <w:szCs w:val="24"/>
          <w:highlight w:val="none"/>
        </w:rPr>
      </w:pPr>
    </w:p>
    <w:p w14:paraId="57E4F942">
      <w:pPr>
        <w:keepNext/>
        <w:widowControl/>
        <w:adjustRightInd w:val="0"/>
        <w:spacing w:before="120" w:after="120" w:line="240" w:lineRule="auto"/>
        <w:jc w:val="center"/>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一企一管监控系统功能</w:t>
      </w:r>
    </w:p>
    <w:tbl>
      <w:tblPr>
        <w:tblStyle w:val="3"/>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7156"/>
      </w:tblGrid>
      <w:tr w14:paraId="25EE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61C768B0">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7156" w:type="dxa"/>
            <w:tcBorders>
              <w:top w:val="single" w:color="auto" w:sz="4" w:space="0"/>
              <w:left w:val="single" w:color="auto" w:sz="4" w:space="0"/>
              <w:bottom w:val="single" w:color="auto" w:sz="4" w:space="0"/>
              <w:right w:val="single" w:color="auto" w:sz="4" w:space="0"/>
            </w:tcBorders>
            <w:vAlign w:val="center"/>
          </w:tcPr>
          <w:p w14:paraId="7CCD4DDC">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一企一管监控系统</w:t>
            </w:r>
          </w:p>
        </w:tc>
      </w:tr>
      <w:tr w14:paraId="49A0A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766599F0">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功能描述</w:t>
            </w:r>
          </w:p>
        </w:tc>
        <w:tc>
          <w:tcPr>
            <w:tcW w:w="7156" w:type="dxa"/>
            <w:tcBorders>
              <w:top w:val="single" w:color="auto" w:sz="4" w:space="0"/>
              <w:left w:val="single" w:color="auto" w:sz="4" w:space="0"/>
              <w:bottom w:val="single" w:color="auto" w:sz="4" w:space="0"/>
              <w:right w:val="single" w:color="auto" w:sz="4" w:space="0"/>
            </w:tcBorders>
            <w:vAlign w:val="center"/>
          </w:tcPr>
          <w:p w14:paraId="4799D359">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完成污水排放在线监测相关信息的展示</w:t>
            </w:r>
          </w:p>
        </w:tc>
      </w:tr>
      <w:tr w14:paraId="63A0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24410783">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实现要求</w:t>
            </w:r>
          </w:p>
        </w:tc>
        <w:tc>
          <w:tcPr>
            <w:tcW w:w="7156" w:type="dxa"/>
            <w:tcBorders>
              <w:top w:val="single" w:color="auto" w:sz="4" w:space="0"/>
              <w:left w:val="single" w:color="auto" w:sz="4" w:space="0"/>
              <w:bottom w:val="single" w:color="auto" w:sz="4" w:space="0"/>
              <w:right w:val="single" w:color="auto" w:sz="4" w:space="0"/>
            </w:tcBorders>
            <w:vAlign w:val="center"/>
          </w:tcPr>
          <w:p w14:paraId="5EC7865A">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可查看</w:t>
            </w:r>
            <w:r>
              <w:rPr>
                <w:rFonts w:hint="eastAsia" w:ascii="宋体" w:hAnsi="宋体" w:eastAsia="宋体" w:cs="宋体"/>
                <w:color w:val="auto"/>
                <w:sz w:val="24"/>
                <w:szCs w:val="24"/>
                <w:highlight w:val="none"/>
                <w:lang w:val="en-US" w:eastAsia="zh-CN"/>
              </w:rPr>
              <w:t>企业</w:t>
            </w:r>
            <w:r>
              <w:rPr>
                <w:rFonts w:hint="eastAsia" w:ascii="宋体" w:hAnsi="宋体" w:eastAsia="宋体" w:cs="宋体"/>
                <w:color w:val="auto"/>
                <w:sz w:val="24"/>
                <w:szCs w:val="24"/>
                <w:highlight w:val="none"/>
              </w:rPr>
              <w:t>污水</w:t>
            </w:r>
            <w:r>
              <w:rPr>
                <w:rFonts w:hint="eastAsia" w:ascii="宋体" w:hAnsi="宋体" w:eastAsia="宋体" w:cs="宋体"/>
                <w:color w:val="auto"/>
                <w:sz w:val="24"/>
                <w:szCs w:val="24"/>
                <w:highlight w:val="none"/>
                <w:lang w:val="en-US" w:eastAsia="zh-CN"/>
              </w:rPr>
              <w:t>监测因子、流量</w:t>
            </w:r>
            <w:r>
              <w:rPr>
                <w:rFonts w:hint="eastAsia" w:ascii="宋体" w:hAnsi="宋体" w:eastAsia="宋体" w:cs="宋体"/>
                <w:color w:val="auto"/>
                <w:sz w:val="24"/>
                <w:szCs w:val="24"/>
                <w:highlight w:val="none"/>
              </w:rPr>
              <w:t>实时数据、历史数据、统计分成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在企业污水监测因子异常或流量异常时报警并联锁关闭相应企业“一企一管”电动阀</w:t>
            </w:r>
          </w:p>
        </w:tc>
      </w:tr>
      <w:tr w14:paraId="302A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3B7B6F9C">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输入</w:t>
            </w:r>
          </w:p>
        </w:tc>
        <w:tc>
          <w:tcPr>
            <w:tcW w:w="7156" w:type="dxa"/>
            <w:tcBorders>
              <w:top w:val="single" w:color="auto" w:sz="4" w:space="0"/>
              <w:left w:val="single" w:color="auto" w:sz="4" w:space="0"/>
              <w:bottom w:val="single" w:color="auto" w:sz="4" w:space="0"/>
              <w:right w:val="single" w:color="auto" w:sz="4" w:space="0"/>
            </w:tcBorders>
            <w:vAlign w:val="center"/>
          </w:tcPr>
          <w:p w14:paraId="554FDE16">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标题关键字</w:t>
            </w:r>
          </w:p>
        </w:tc>
      </w:tr>
      <w:tr w14:paraId="02A0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24BF39ED">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处理</w:t>
            </w:r>
          </w:p>
        </w:tc>
        <w:tc>
          <w:tcPr>
            <w:tcW w:w="7156" w:type="dxa"/>
            <w:tcBorders>
              <w:top w:val="single" w:color="auto" w:sz="4" w:space="0"/>
              <w:left w:val="single" w:color="auto" w:sz="4" w:space="0"/>
              <w:bottom w:val="single" w:color="auto" w:sz="4" w:space="0"/>
              <w:right w:val="single" w:color="auto" w:sz="4" w:space="0"/>
            </w:tcBorders>
            <w:vAlign w:val="center"/>
          </w:tcPr>
          <w:p w14:paraId="3A948AB7">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查看对应的污水信息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异常信息报警，“一企一管”阀门状态显示与控制</w:t>
            </w:r>
          </w:p>
        </w:tc>
      </w:tr>
      <w:tr w14:paraId="7BA2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37D65D61">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输出</w:t>
            </w:r>
          </w:p>
        </w:tc>
        <w:tc>
          <w:tcPr>
            <w:tcW w:w="7156" w:type="dxa"/>
            <w:tcBorders>
              <w:top w:val="single" w:color="auto" w:sz="4" w:space="0"/>
              <w:left w:val="single" w:color="auto" w:sz="4" w:space="0"/>
              <w:bottom w:val="single" w:color="auto" w:sz="4" w:space="0"/>
              <w:right w:val="single" w:color="auto" w:sz="4" w:space="0"/>
            </w:tcBorders>
            <w:vAlign w:val="center"/>
          </w:tcPr>
          <w:p w14:paraId="182F3736">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污水相关表</w:t>
            </w:r>
          </w:p>
        </w:tc>
      </w:tr>
      <w:tr w14:paraId="6A04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5E4CA4C7">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补充说明</w:t>
            </w:r>
          </w:p>
        </w:tc>
        <w:tc>
          <w:tcPr>
            <w:tcW w:w="7156" w:type="dxa"/>
            <w:tcBorders>
              <w:top w:val="single" w:color="auto" w:sz="4" w:space="0"/>
              <w:left w:val="single" w:color="auto" w:sz="4" w:space="0"/>
              <w:bottom w:val="single" w:color="auto" w:sz="4" w:space="0"/>
              <w:right w:val="single" w:color="auto" w:sz="4" w:space="0"/>
            </w:tcBorders>
            <w:vAlign w:val="center"/>
          </w:tcPr>
          <w:p w14:paraId="355D2832">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tc>
      </w:tr>
    </w:tbl>
    <w:p w14:paraId="01EEE255">
      <w:pPr>
        <w:keepLines w:val="0"/>
        <w:pageBreakBefore w:val="0"/>
        <w:widowControl w:val="0"/>
        <w:numPr>
          <w:ilvl w:val="0"/>
          <w:numId w:val="2"/>
        </w:numPr>
        <w:kinsoku/>
        <w:wordWrap/>
        <w:overflowPunct/>
        <w:topLinePunct w:val="0"/>
        <w:autoSpaceDE/>
        <w:autoSpaceDN/>
        <w:bidi w:val="0"/>
        <w:adjustRightInd w:val="0"/>
        <w:snapToGrid w:val="0"/>
        <w:spacing w:line="500" w:lineRule="exact"/>
        <w:ind w:left="420" w:leftChars="200" w:firstLine="0" w:firstLineChars="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配置管理</w:t>
      </w:r>
    </w:p>
    <w:p w14:paraId="4C0D70A7">
      <w:pPr>
        <w:keepNext/>
        <w:widowControl/>
        <w:adjustRightInd w:val="0"/>
        <w:spacing w:before="120" w:after="120" w:line="240" w:lineRule="auto"/>
        <w:jc w:val="center"/>
        <w:rPr>
          <w:rFonts w:hint="eastAsia" w:ascii="宋体" w:hAnsi="宋体" w:eastAsia="宋体" w:cs="宋体"/>
          <w:b/>
          <w:color w:val="auto"/>
          <w:kern w:val="0"/>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配置管理功能</w:t>
      </w:r>
    </w:p>
    <w:tbl>
      <w:tblPr>
        <w:tblStyle w:val="3"/>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7156"/>
      </w:tblGrid>
      <w:tr w14:paraId="103E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5816D375">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7156" w:type="dxa"/>
            <w:tcBorders>
              <w:top w:val="single" w:color="auto" w:sz="4" w:space="0"/>
              <w:left w:val="single" w:color="auto" w:sz="4" w:space="0"/>
              <w:bottom w:val="single" w:color="auto" w:sz="4" w:space="0"/>
              <w:right w:val="single" w:color="auto" w:sz="4" w:space="0"/>
            </w:tcBorders>
            <w:vAlign w:val="center"/>
          </w:tcPr>
          <w:p w14:paraId="3F35AE32">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配置管理</w:t>
            </w:r>
          </w:p>
        </w:tc>
      </w:tr>
      <w:tr w14:paraId="2854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1E507F3D">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功能描述</w:t>
            </w:r>
          </w:p>
        </w:tc>
        <w:tc>
          <w:tcPr>
            <w:tcW w:w="7156" w:type="dxa"/>
            <w:tcBorders>
              <w:top w:val="single" w:color="auto" w:sz="4" w:space="0"/>
              <w:left w:val="single" w:color="auto" w:sz="4" w:space="0"/>
              <w:bottom w:val="single" w:color="auto" w:sz="4" w:space="0"/>
              <w:right w:val="single" w:color="auto" w:sz="4" w:space="0"/>
            </w:tcBorders>
            <w:vAlign w:val="center"/>
          </w:tcPr>
          <w:p w14:paraId="6C5E51E1">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完成配置管理相关信息的展示</w:t>
            </w:r>
          </w:p>
        </w:tc>
      </w:tr>
      <w:tr w14:paraId="5513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764FA905">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实现要求</w:t>
            </w:r>
          </w:p>
        </w:tc>
        <w:tc>
          <w:tcPr>
            <w:tcW w:w="7156" w:type="dxa"/>
            <w:tcBorders>
              <w:top w:val="single" w:color="auto" w:sz="4" w:space="0"/>
              <w:left w:val="single" w:color="auto" w:sz="4" w:space="0"/>
              <w:bottom w:val="single" w:color="auto" w:sz="4" w:space="0"/>
              <w:right w:val="single" w:color="auto" w:sz="4" w:space="0"/>
            </w:tcBorders>
            <w:vAlign w:val="center"/>
          </w:tcPr>
          <w:p w14:paraId="0A874862">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可查看污水的规则管理数据、排口管理数据</w:t>
            </w:r>
          </w:p>
          <w:p w14:paraId="5664D87A">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污水的规则管理数据可进行新增、修改、删除，污水排口管理进行新增、修改、删除、显示、隐藏</w:t>
            </w:r>
          </w:p>
        </w:tc>
      </w:tr>
      <w:tr w14:paraId="33AF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427F6EBB">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输入</w:t>
            </w:r>
          </w:p>
        </w:tc>
        <w:tc>
          <w:tcPr>
            <w:tcW w:w="7156" w:type="dxa"/>
            <w:tcBorders>
              <w:top w:val="single" w:color="auto" w:sz="4" w:space="0"/>
              <w:left w:val="single" w:color="auto" w:sz="4" w:space="0"/>
              <w:bottom w:val="single" w:color="auto" w:sz="4" w:space="0"/>
              <w:right w:val="single" w:color="auto" w:sz="4" w:space="0"/>
            </w:tcBorders>
            <w:vAlign w:val="center"/>
          </w:tcPr>
          <w:p w14:paraId="7A085E58">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标题关键字</w:t>
            </w:r>
          </w:p>
        </w:tc>
      </w:tr>
      <w:tr w14:paraId="7128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1CA16BBE">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处理</w:t>
            </w:r>
          </w:p>
        </w:tc>
        <w:tc>
          <w:tcPr>
            <w:tcW w:w="7156" w:type="dxa"/>
            <w:tcBorders>
              <w:top w:val="single" w:color="auto" w:sz="4" w:space="0"/>
              <w:left w:val="single" w:color="auto" w:sz="4" w:space="0"/>
              <w:bottom w:val="single" w:color="auto" w:sz="4" w:space="0"/>
              <w:right w:val="single" w:color="auto" w:sz="4" w:space="0"/>
            </w:tcBorders>
            <w:vAlign w:val="center"/>
          </w:tcPr>
          <w:p w14:paraId="7B2488C7">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查看污水规则和排口管理信息 </w:t>
            </w:r>
          </w:p>
        </w:tc>
      </w:tr>
      <w:tr w14:paraId="71AB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3FA0E285">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输出</w:t>
            </w:r>
          </w:p>
        </w:tc>
        <w:tc>
          <w:tcPr>
            <w:tcW w:w="7156" w:type="dxa"/>
            <w:tcBorders>
              <w:top w:val="single" w:color="auto" w:sz="4" w:space="0"/>
              <w:left w:val="single" w:color="auto" w:sz="4" w:space="0"/>
              <w:bottom w:val="single" w:color="auto" w:sz="4" w:space="0"/>
              <w:right w:val="single" w:color="auto" w:sz="4" w:space="0"/>
            </w:tcBorders>
            <w:vAlign w:val="center"/>
          </w:tcPr>
          <w:p w14:paraId="7C7251C5">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污水相关报表</w:t>
            </w:r>
          </w:p>
        </w:tc>
      </w:tr>
      <w:tr w14:paraId="7E7C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14:paraId="6CABFCB8">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补充说明</w:t>
            </w:r>
          </w:p>
        </w:tc>
        <w:tc>
          <w:tcPr>
            <w:tcW w:w="7156" w:type="dxa"/>
            <w:tcBorders>
              <w:top w:val="single" w:color="auto" w:sz="4" w:space="0"/>
              <w:left w:val="single" w:color="auto" w:sz="4" w:space="0"/>
              <w:bottom w:val="single" w:color="auto" w:sz="4" w:space="0"/>
              <w:right w:val="single" w:color="auto" w:sz="4" w:space="0"/>
            </w:tcBorders>
            <w:vAlign w:val="center"/>
          </w:tcPr>
          <w:p w14:paraId="6FB6FA64">
            <w:pPr>
              <w:tabs>
                <w:tab w:val="left" w:pos="3346"/>
              </w:tabs>
              <w:snapToGrid w:val="0"/>
              <w:spacing w:before="156" w:beforeLines="50" w:after="156" w:afterLines="50" w:line="240" w:lineRule="auto"/>
              <w:ind w:firstLine="0" w:firstLineChars="0"/>
              <w:contextualSpacing/>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tc>
      </w:tr>
    </w:tbl>
    <w:p w14:paraId="343468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14:paraId="16458A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为满足化工企业污水防腐防渗要求，流量计与阀门内衬需采用四氟衬里。</w:t>
      </w:r>
    </w:p>
    <w:tbl>
      <w:tblPr>
        <w:tblStyle w:val="4"/>
        <w:tblW w:w="8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5494"/>
        <w:gridCol w:w="2198"/>
      </w:tblGrid>
      <w:tr w14:paraId="567F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43" w:type="dxa"/>
            <w:vAlign w:val="center"/>
          </w:tcPr>
          <w:p w14:paraId="2C21A3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5494" w:type="dxa"/>
            <w:vAlign w:val="center"/>
          </w:tcPr>
          <w:p w14:paraId="6DA381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建设内容</w:t>
            </w:r>
          </w:p>
        </w:tc>
        <w:tc>
          <w:tcPr>
            <w:tcW w:w="2198" w:type="dxa"/>
            <w:vAlign w:val="center"/>
          </w:tcPr>
          <w:p w14:paraId="06CEAF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数量</w:t>
            </w:r>
          </w:p>
        </w:tc>
      </w:tr>
      <w:tr w14:paraId="387A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3" w:type="dxa"/>
            <w:vAlign w:val="center"/>
          </w:tcPr>
          <w:p w14:paraId="1A3CE9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w:t>
            </w:r>
          </w:p>
        </w:tc>
        <w:tc>
          <w:tcPr>
            <w:tcW w:w="5494" w:type="dxa"/>
            <w:vAlign w:val="center"/>
          </w:tcPr>
          <w:p w14:paraId="151264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东莹化工污水一企一管（DN300）流量计</w:t>
            </w:r>
            <w:r>
              <w:rPr>
                <w:rFonts w:hint="eastAsia" w:ascii="宋体" w:hAnsi="宋体" w:cs="宋体"/>
                <w:sz w:val="24"/>
                <w:szCs w:val="24"/>
                <w:vertAlign w:val="baseline"/>
                <w:lang w:val="en-US" w:eastAsia="zh-CN"/>
              </w:rPr>
              <w:t>（两个）</w:t>
            </w:r>
            <w:r>
              <w:rPr>
                <w:rFonts w:hint="eastAsia" w:ascii="宋体" w:hAnsi="宋体" w:eastAsia="宋体" w:cs="宋体"/>
                <w:sz w:val="24"/>
                <w:szCs w:val="24"/>
                <w:vertAlign w:val="baseline"/>
                <w:lang w:val="en-US" w:eastAsia="zh-CN"/>
              </w:rPr>
              <w:t>、电动阀门</w:t>
            </w:r>
            <w:r>
              <w:rPr>
                <w:rFonts w:hint="eastAsia" w:ascii="宋体" w:hAnsi="宋体" w:cs="宋体"/>
                <w:sz w:val="24"/>
                <w:szCs w:val="24"/>
                <w:vertAlign w:val="baseline"/>
                <w:lang w:val="en-US" w:eastAsia="zh-CN"/>
              </w:rPr>
              <w:t>（1个）</w:t>
            </w:r>
          </w:p>
        </w:tc>
        <w:tc>
          <w:tcPr>
            <w:tcW w:w="2198" w:type="dxa"/>
            <w:vAlign w:val="center"/>
          </w:tcPr>
          <w:p w14:paraId="1C3494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1套</w:t>
            </w:r>
          </w:p>
        </w:tc>
      </w:tr>
      <w:tr w14:paraId="212A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3" w:type="dxa"/>
            <w:vAlign w:val="center"/>
          </w:tcPr>
          <w:p w14:paraId="7CC1EA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w:t>
            </w:r>
          </w:p>
        </w:tc>
        <w:tc>
          <w:tcPr>
            <w:tcW w:w="5494" w:type="dxa"/>
            <w:vAlign w:val="center"/>
          </w:tcPr>
          <w:p w14:paraId="4CDF5A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电动控制柜与远程控制终端</w:t>
            </w:r>
          </w:p>
        </w:tc>
        <w:tc>
          <w:tcPr>
            <w:tcW w:w="2198" w:type="dxa"/>
            <w:vAlign w:val="center"/>
          </w:tcPr>
          <w:p w14:paraId="014DB0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w:t>
            </w:r>
            <w:r>
              <w:rPr>
                <w:rFonts w:hint="eastAsia" w:ascii="宋体" w:hAnsi="宋体" w:eastAsia="宋体" w:cs="宋体"/>
                <w:sz w:val="24"/>
                <w:szCs w:val="24"/>
                <w:vertAlign w:val="baseline"/>
                <w:lang w:val="en-US" w:eastAsia="zh-CN"/>
              </w:rPr>
              <w:t>套</w:t>
            </w:r>
          </w:p>
        </w:tc>
      </w:tr>
      <w:tr w14:paraId="53CC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3" w:type="dxa"/>
            <w:vAlign w:val="center"/>
          </w:tcPr>
          <w:p w14:paraId="7950D1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5494" w:type="dxa"/>
            <w:vAlign w:val="center"/>
          </w:tcPr>
          <w:p w14:paraId="2DD112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辅材与安装</w:t>
            </w:r>
          </w:p>
        </w:tc>
        <w:tc>
          <w:tcPr>
            <w:tcW w:w="2198" w:type="dxa"/>
            <w:vAlign w:val="center"/>
          </w:tcPr>
          <w:p w14:paraId="6DB6B0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1项</w:t>
            </w:r>
          </w:p>
        </w:tc>
      </w:tr>
      <w:tr w14:paraId="5957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3" w:type="dxa"/>
            <w:vAlign w:val="center"/>
          </w:tcPr>
          <w:p w14:paraId="798879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5494" w:type="dxa"/>
            <w:vAlign w:val="center"/>
          </w:tcPr>
          <w:p w14:paraId="131AA7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流量计调试</w:t>
            </w:r>
          </w:p>
        </w:tc>
        <w:tc>
          <w:tcPr>
            <w:tcW w:w="2198" w:type="dxa"/>
            <w:vAlign w:val="center"/>
          </w:tcPr>
          <w:p w14:paraId="3D4D8C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1项</w:t>
            </w:r>
          </w:p>
        </w:tc>
      </w:tr>
      <w:tr w14:paraId="03A8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3" w:type="dxa"/>
            <w:vAlign w:val="center"/>
          </w:tcPr>
          <w:p w14:paraId="1DDC0F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5494" w:type="dxa"/>
            <w:vAlign w:val="center"/>
          </w:tcPr>
          <w:p w14:paraId="6A03FF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平台联网调试、控制模块开发与集成</w:t>
            </w:r>
            <w:r>
              <w:rPr>
                <w:rFonts w:hint="eastAsia" w:ascii="宋体" w:hAnsi="宋体" w:cs="宋体"/>
                <w:sz w:val="24"/>
                <w:szCs w:val="24"/>
                <w:vertAlign w:val="baseline"/>
                <w:lang w:val="en-US" w:eastAsia="zh-CN"/>
              </w:rPr>
              <w:t>（可兼容约12处远程闸阀控制模块）</w:t>
            </w:r>
          </w:p>
        </w:tc>
        <w:tc>
          <w:tcPr>
            <w:tcW w:w="2198" w:type="dxa"/>
            <w:vAlign w:val="center"/>
          </w:tcPr>
          <w:p w14:paraId="76351A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1项</w:t>
            </w:r>
          </w:p>
        </w:tc>
      </w:tr>
    </w:tbl>
    <w:p w14:paraId="1BCC18CA">
      <w:pPr>
        <w:pStyle w:val="2"/>
        <w:numPr>
          <w:ilvl w:val="0"/>
          <w:numId w:val="0"/>
        </w:numPr>
        <w:rPr>
          <w:rFonts w:hint="eastAsia" w:ascii="Times New Roman" w:hAnsi="Times New Roman"/>
          <w:sz w:val="28"/>
          <w:szCs w:val="28"/>
          <w:lang w:val="en-US" w:eastAsia="zh-CN"/>
        </w:rPr>
      </w:pPr>
      <w:r>
        <w:rPr>
          <w:rFonts w:hint="eastAsia" w:ascii="Times New Roman" w:hAnsi="Times New Roman"/>
          <w:sz w:val="28"/>
          <w:szCs w:val="28"/>
          <w:lang w:val="en-US" w:eastAsia="zh-CN"/>
        </w:rPr>
        <w:t>1.2开展雨水应急监管能力提升项目</w:t>
      </w:r>
    </w:p>
    <w:p w14:paraId="168B3A1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1.建设2处福宝园污水处理厂雨水排放口标识牌；</w:t>
      </w:r>
    </w:p>
    <w:p w14:paraId="4023F3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（1）标示牌设置选址选型</w:t>
      </w:r>
    </w:p>
    <w:p w14:paraId="2C376D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①标示牌应设置在入河排污口入河处或监测点附近的醒目位置，周边不得有草木等物体遮挡视线，并能长久保留。</w:t>
      </w:r>
    </w:p>
    <w:p w14:paraId="2CF6CB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②选取</w:t>
      </w:r>
      <w:r>
        <w:rPr>
          <w:rFonts w:hint="eastAsia" w:ascii="宋体" w:hAnsi="宋体" w:eastAsia="宋体" w:cs="宋体"/>
          <w:sz w:val="24"/>
          <w:szCs w:val="24"/>
        </w:rPr>
        <w:t>立式双面标示牌</w:t>
      </w:r>
      <w:r>
        <w:rPr>
          <w:rFonts w:hint="eastAsia" w:ascii="宋体" w:hAnsi="宋体" w:eastAsia="宋体" w:cs="宋体"/>
          <w:sz w:val="24"/>
          <w:szCs w:val="24"/>
          <w:lang w:eastAsia="zh-CN"/>
        </w:rPr>
        <w:t>，</w:t>
      </w:r>
      <w:r>
        <w:rPr>
          <w:rFonts w:hint="eastAsia" w:ascii="宋体" w:hAnsi="宋体" w:eastAsia="宋体" w:cs="宋体"/>
          <w:sz w:val="24"/>
          <w:szCs w:val="24"/>
        </w:rPr>
        <w:t>采用双柱式的支撑方式，标示牌设置方向为顺河平行设置。</w:t>
      </w:r>
    </w:p>
    <w:p w14:paraId="6E728F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（2）标示牌设置内容</w:t>
      </w:r>
    </w:p>
    <w:p w14:paraId="5384D3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标示牌应包括以下信息：入河排污口名称、编码；入河排污口地理位置及经纬度；排入水体名称、水功能区名称、水质保护目标；入河排污口类型、最大规模污水排放量及主要污染物；入河排污口设置单位、设置审批单位及监督电话。</w:t>
      </w:r>
    </w:p>
    <w:p w14:paraId="68CF4D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（3）标示牌设计要求</w:t>
      </w:r>
    </w:p>
    <w:p w14:paraId="210E92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①颜色</w:t>
      </w:r>
    </w:p>
    <w:p w14:paraId="4C3035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标示牌牌面颜色为蓝色（RGB33,119,218），字体、边框颜色为白色（RGB255,255,255）、排污口标志图案颜色为黄色（RGB239,215,57）。</w:t>
      </w:r>
    </w:p>
    <w:p w14:paraId="155BBC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②材质</w:t>
      </w:r>
    </w:p>
    <w:p w14:paraId="4E68FB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了保障标示牌能长久保留，应遵循耐久、耐腐蚀、不易破损和变形以及经济的原则，牌面采用1.5~2mm冷轧钢板，表面搪瓷处理或贴膜处理，立式双面标志牌中空应采用硬塑泡沫填充，立柱采用不锈钢镀锌立柱，柱顶密封。</w:t>
      </w:r>
    </w:p>
    <w:p w14:paraId="2C023E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③尺寸</w:t>
      </w:r>
    </w:p>
    <w:p w14:paraId="1516B1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标示牌长宽为1000mm×800mm，立柱高2100mm（地表1600mm，地下埋深500mm），立柱直径φ60mm。</w:t>
      </w:r>
    </w:p>
    <w:p w14:paraId="07E3C7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④外观质量要求</w:t>
      </w:r>
    </w:p>
    <w:p w14:paraId="6A8DD2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标示牌、立柱无明显变形；标示牌表面无气泡、膜或搪瓷无脱落；图案清晰，色泽一致，不得有明显缺损；标示牌的表面不应有开裂、脱落及其他破损。</w:t>
      </w:r>
    </w:p>
    <w:p w14:paraId="7BC702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标示牌设计详见</w:t>
      </w:r>
      <w:r>
        <w:rPr>
          <w:rFonts w:hint="eastAsia" w:ascii="宋体" w:hAnsi="宋体" w:eastAsia="宋体" w:cs="宋体"/>
          <w:sz w:val="24"/>
          <w:szCs w:val="24"/>
          <w:lang w:val="en-US" w:eastAsia="zh-CN"/>
        </w:rPr>
        <w:t>下图，根据雨水排口实际信息修改标识牌上相关描述</w:t>
      </w:r>
      <w:r>
        <w:rPr>
          <w:rFonts w:hint="eastAsia" w:ascii="宋体" w:hAnsi="宋体" w:eastAsia="宋体" w:cs="宋体"/>
          <w:sz w:val="24"/>
          <w:szCs w:val="24"/>
        </w:rPr>
        <w:t>。</w:t>
      </w:r>
    </w:p>
    <w:tbl>
      <w:tblPr>
        <w:tblStyle w:val="3"/>
        <w:tblW w:w="8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0"/>
      </w:tblGrid>
      <w:tr w14:paraId="31F4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0" w:type="dxa"/>
            <w:tcBorders>
              <w:top w:val="single" w:color="auto" w:sz="4" w:space="0"/>
              <w:left w:val="single" w:color="auto" w:sz="4" w:space="0"/>
              <w:bottom w:val="nil"/>
              <w:right w:val="single" w:color="auto" w:sz="4" w:space="0"/>
            </w:tcBorders>
            <w:noWrap w:val="0"/>
            <w:vAlign w:val="center"/>
          </w:tcPr>
          <w:p w14:paraId="7EA77A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107180" cy="3285490"/>
                  <wp:effectExtent l="0" t="0" r="7620" b="10160"/>
                  <wp:docPr id="162" name="图片 1" descr="入河排污口标示牌样式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 descr="入河排污口标示牌样式04"/>
                          <pic:cNvPicPr>
                            <a:picLocks noChangeAspect="1"/>
                          </pic:cNvPicPr>
                        </pic:nvPicPr>
                        <pic:blipFill>
                          <a:blip r:embed="rId6"/>
                          <a:stretch>
                            <a:fillRect/>
                          </a:stretch>
                        </pic:blipFill>
                        <pic:spPr>
                          <a:xfrm>
                            <a:off x="0" y="0"/>
                            <a:ext cx="4107180" cy="3285490"/>
                          </a:xfrm>
                          <a:prstGeom prst="rect">
                            <a:avLst/>
                          </a:prstGeom>
                          <a:noFill/>
                          <a:ln>
                            <a:noFill/>
                          </a:ln>
                        </pic:spPr>
                      </pic:pic>
                    </a:graphicData>
                  </a:graphic>
                </wp:inline>
              </w:drawing>
            </w:r>
          </w:p>
        </w:tc>
      </w:tr>
      <w:tr w14:paraId="3EBD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0" w:type="dxa"/>
            <w:tcBorders>
              <w:top w:val="nil"/>
              <w:left w:val="single" w:color="auto" w:sz="4" w:space="0"/>
              <w:bottom w:val="single" w:color="auto" w:sz="4" w:space="0"/>
              <w:right w:val="single" w:color="auto" w:sz="4" w:space="0"/>
            </w:tcBorders>
            <w:noWrap w:val="0"/>
            <w:vAlign w:val="center"/>
          </w:tcPr>
          <w:p w14:paraId="7857B0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立式双面标示牌正面</w:t>
            </w:r>
          </w:p>
        </w:tc>
      </w:tr>
      <w:tr w14:paraId="2814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0" w:type="dxa"/>
            <w:tcBorders>
              <w:top w:val="single" w:color="auto" w:sz="4" w:space="0"/>
              <w:left w:val="single" w:color="auto" w:sz="4" w:space="0"/>
              <w:bottom w:val="nil"/>
              <w:right w:val="single" w:color="auto" w:sz="4" w:space="0"/>
            </w:tcBorders>
            <w:noWrap w:val="0"/>
            <w:vAlign w:val="center"/>
          </w:tcPr>
          <w:p w14:paraId="390271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168775" cy="3305810"/>
                  <wp:effectExtent l="0" t="0" r="3175" b="8890"/>
                  <wp:docPr id="163" name="图片 163" descr="C:\Users\fjsdy\AppData\Local\Temp\ksohtml\wps67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C:\Users\fjsdy\AppData\Local\Temp\ksohtml\wps676.tmp.jpg"/>
                          <pic:cNvPicPr>
                            <a:picLocks noChangeAspect="1"/>
                          </pic:cNvPicPr>
                        </pic:nvPicPr>
                        <pic:blipFill>
                          <a:blip r:embed="rId7"/>
                          <a:stretch>
                            <a:fillRect/>
                          </a:stretch>
                        </pic:blipFill>
                        <pic:spPr>
                          <a:xfrm>
                            <a:off x="0" y="0"/>
                            <a:ext cx="4168775" cy="3305810"/>
                          </a:xfrm>
                          <a:prstGeom prst="rect">
                            <a:avLst/>
                          </a:prstGeom>
                          <a:noFill/>
                          <a:ln>
                            <a:noFill/>
                          </a:ln>
                        </pic:spPr>
                      </pic:pic>
                    </a:graphicData>
                  </a:graphic>
                </wp:inline>
              </w:drawing>
            </w:r>
          </w:p>
        </w:tc>
      </w:tr>
      <w:tr w14:paraId="0836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0" w:type="dxa"/>
            <w:tcBorders>
              <w:top w:val="nil"/>
              <w:left w:val="single" w:color="auto" w:sz="4" w:space="0"/>
              <w:bottom w:val="single" w:color="auto" w:sz="4" w:space="0"/>
              <w:right w:val="single" w:color="auto" w:sz="4" w:space="0"/>
            </w:tcBorders>
            <w:noWrap w:val="0"/>
            <w:vAlign w:val="center"/>
          </w:tcPr>
          <w:p w14:paraId="4D82AE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立式双面标示牌背面</w:t>
            </w:r>
          </w:p>
        </w:tc>
      </w:tr>
    </w:tbl>
    <w:p w14:paraId="34AECC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图</w:t>
      </w:r>
      <w:r>
        <w:rPr>
          <w:rFonts w:hint="eastAsia" w:ascii="宋体" w:hAnsi="宋体" w:eastAsia="宋体" w:cs="宋体"/>
          <w:b/>
          <w:bCs/>
          <w:sz w:val="24"/>
          <w:szCs w:val="24"/>
          <w:lang w:val="en-US" w:eastAsia="zh-CN"/>
        </w:rPr>
        <w:t>8-1</w:t>
      </w:r>
      <w:r>
        <w:rPr>
          <w:rFonts w:hint="eastAsia" w:ascii="宋体" w:hAnsi="宋体" w:eastAsia="宋体" w:cs="宋体"/>
          <w:b/>
          <w:bCs/>
          <w:sz w:val="24"/>
          <w:szCs w:val="24"/>
        </w:rPr>
        <w:t xml:space="preserve">  标示牌牌面内容设计</w:t>
      </w:r>
    </w:p>
    <w:p w14:paraId="4A970D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192270" cy="4361815"/>
            <wp:effectExtent l="0" t="0" r="17780" b="635"/>
            <wp:docPr id="164" name="图片 3" descr="C:\Users\fjsdy\AppData\Local\Temp\ksohtml\wps67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 descr="C:\Users\fjsdy\AppData\Local\Temp\ksohtml\wps677.tmp.png"/>
                    <pic:cNvPicPr>
                      <a:picLocks noChangeAspect="1"/>
                    </pic:cNvPicPr>
                  </pic:nvPicPr>
                  <pic:blipFill>
                    <a:blip r:embed="rId8"/>
                    <a:srcRect l="630" t="1067" r="48728" b="356"/>
                    <a:stretch>
                      <a:fillRect/>
                    </a:stretch>
                  </pic:blipFill>
                  <pic:spPr>
                    <a:xfrm>
                      <a:off x="0" y="0"/>
                      <a:ext cx="4192270" cy="4361815"/>
                    </a:xfrm>
                    <a:prstGeom prst="rect">
                      <a:avLst/>
                    </a:prstGeom>
                    <a:noFill/>
                    <a:ln>
                      <a:noFill/>
                    </a:ln>
                  </pic:spPr>
                </pic:pic>
              </a:graphicData>
            </a:graphic>
          </wp:inline>
        </w:drawing>
      </w:r>
    </w:p>
    <w:p w14:paraId="3DC95E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884295" cy="3952240"/>
            <wp:effectExtent l="0" t="0" r="1905" b="10160"/>
            <wp:docPr id="165" name="图片 3" descr="C:\Users\fjsdy\AppData\Local\Temp\ksohtml\wps67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 descr="C:\Users\fjsdy\AppData\Local\Temp\ksohtml\wps677.tmp.png"/>
                    <pic:cNvPicPr>
                      <a:picLocks noChangeAspect="1"/>
                    </pic:cNvPicPr>
                  </pic:nvPicPr>
                  <pic:blipFill>
                    <a:blip r:embed="rId8"/>
                    <a:srcRect l="50475" t="1067" r="285" b="5203"/>
                    <a:stretch>
                      <a:fillRect/>
                    </a:stretch>
                  </pic:blipFill>
                  <pic:spPr>
                    <a:xfrm>
                      <a:off x="0" y="0"/>
                      <a:ext cx="3884295" cy="3952240"/>
                    </a:xfrm>
                    <a:prstGeom prst="rect">
                      <a:avLst/>
                    </a:prstGeom>
                    <a:noFill/>
                    <a:ln>
                      <a:noFill/>
                    </a:ln>
                  </pic:spPr>
                </pic:pic>
              </a:graphicData>
            </a:graphic>
          </wp:inline>
        </w:drawing>
      </w:r>
    </w:p>
    <w:p w14:paraId="715B3595">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ascii="宋体" w:hAnsi="宋体" w:eastAsia="宋体" w:cs="宋体"/>
          <w:b/>
          <w:bCs/>
          <w:sz w:val="24"/>
          <w:szCs w:val="24"/>
        </w:rPr>
        <w:t>图</w:t>
      </w:r>
      <w:r>
        <w:rPr>
          <w:rFonts w:hint="eastAsia" w:ascii="宋体" w:hAnsi="宋体" w:eastAsia="宋体" w:cs="宋体"/>
          <w:b/>
          <w:bCs/>
          <w:sz w:val="24"/>
          <w:szCs w:val="24"/>
          <w:lang w:val="en-US" w:eastAsia="zh-CN"/>
        </w:rPr>
        <w:t>8-2</w:t>
      </w:r>
      <w:r>
        <w:rPr>
          <w:rFonts w:hint="eastAsia" w:ascii="宋体" w:hAnsi="宋体" w:eastAsia="宋体" w:cs="宋体"/>
          <w:b/>
          <w:bCs/>
          <w:sz w:val="24"/>
          <w:szCs w:val="24"/>
        </w:rPr>
        <w:t xml:space="preserve">  立式双面标示牌样式设计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73DB89"/>
    <w:multiLevelType w:val="singleLevel"/>
    <w:tmpl w:val="B973DB89"/>
    <w:lvl w:ilvl="0" w:tentative="0">
      <w:start w:val="1"/>
      <w:numFmt w:val="upperLetter"/>
      <w:suff w:val="nothing"/>
      <w:lvlText w:val="%1、"/>
      <w:lvlJc w:val="left"/>
    </w:lvl>
  </w:abstractNum>
  <w:abstractNum w:abstractNumId="1">
    <w:nsid w:val="41132AC9"/>
    <w:multiLevelType w:val="multilevel"/>
    <w:tmpl w:val="41132AC9"/>
    <w:lvl w:ilvl="0" w:tentative="0">
      <w:start w:val="1"/>
      <w:numFmt w:val="decimal"/>
      <w:suff w:val="space"/>
      <w:lvlText w:val="%1"/>
      <w:lvlJc w:val="left"/>
      <w:pPr>
        <w:ind w:left="0" w:firstLine="0"/>
      </w:pPr>
      <w:rPr>
        <w:rFonts w:hint="eastAsia"/>
      </w:rPr>
    </w:lvl>
    <w:lvl w:ilvl="1" w:tentative="0">
      <w:start w:val="1"/>
      <w:numFmt w:val="decimal"/>
      <w:pStyle w:val="2"/>
      <w:suff w:val="space"/>
      <w:lvlText w:val="%1.%2"/>
      <w:lvlJc w:val="left"/>
      <w:pPr>
        <w:ind w:left="0" w:firstLine="0"/>
      </w:pPr>
      <w:rPr>
        <w:rFonts w:hint="default"/>
        <w:highlight w:val="none"/>
      </w:rPr>
    </w:lvl>
    <w:lvl w:ilvl="2" w:tentative="0">
      <w:start w:val="1"/>
      <w:numFmt w:val="decimal"/>
      <w:suff w:val="space"/>
      <w:lvlText w:val="%1.%2.%3"/>
      <w:lvlJc w:val="left"/>
      <w:pPr>
        <w:ind w:left="0" w:firstLine="0"/>
      </w:pPr>
      <w:rPr>
        <w:rFonts w:hint="eastAsia"/>
        <w:b w:val="0"/>
        <w:bCs w:val="0"/>
        <w:i w:val="0"/>
        <w:iCs w:val="0"/>
        <w:caps w:val="0"/>
        <w:smallCaps w:val="0"/>
        <w:strike w:val="0"/>
        <w:dstrike w:val="0"/>
        <w:color w:val="000000"/>
        <w:spacing w:val="0"/>
        <w:position w:val="0"/>
        <w:u w:val="none"/>
      </w:rPr>
    </w:lvl>
    <w:lvl w:ilvl="3" w:tentative="0">
      <w:start w:val="1"/>
      <w:numFmt w:val="decimal"/>
      <w:suff w:val="space"/>
      <w:lvlText w:val="%1.%2.%3.%4"/>
      <w:lvlJc w:val="left"/>
      <w:pPr>
        <w:ind w:left="3261" w:firstLine="0"/>
      </w:pPr>
      <w:rPr>
        <w:rFonts w:hint="eastAsia" w:ascii="Times New Roman" w:hAnsi="Times New Roman" w:cs="Times New Roman"/>
        <w:b w:val="0"/>
        <w:bCs w:val="0"/>
        <w:i w:val="0"/>
        <w:iCs w:val="0"/>
        <w:caps w:val="0"/>
        <w:smallCaps w:val="0"/>
        <w:strike w:val="0"/>
        <w:dstrike w:val="0"/>
        <w:color w:val="000000"/>
        <w:spacing w:val="0"/>
        <w:position w:val="0"/>
        <w:u w:val="none"/>
      </w:rPr>
    </w:lvl>
    <w:lvl w:ilvl="4" w:tentative="0">
      <w:start w:val="1"/>
      <w:numFmt w:val="decimal"/>
      <w:lvlText w:val="%1.%2.%3.%4.%5"/>
      <w:lvlJc w:val="left"/>
      <w:pPr>
        <w:tabs>
          <w:tab w:val="left" w:pos="720"/>
        </w:tabs>
        <w:ind w:left="720" w:firstLine="0"/>
      </w:pPr>
      <w:rPr>
        <w:rFonts w:hint="eastAsia" w:ascii="Times New Roman" w:hAnsi="Times New Roman" w:cs="Times New Roman"/>
        <w:b w:val="0"/>
        <w:bCs w:val="0"/>
        <w:i w:val="0"/>
        <w:iCs w:val="0"/>
        <w:caps w:val="0"/>
        <w:smallCaps w:val="0"/>
        <w:strike w:val="0"/>
        <w:dstrike w:val="0"/>
        <w:color w:val="000000"/>
        <w:spacing w:val="0"/>
        <w:position w:val="0"/>
        <w:u w:val="none"/>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5D5CB0"/>
    <w:rsid w:val="0E5D5CB0"/>
    <w:rsid w:val="214727E8"/>
    <w:rsid w:val="53A17D41"/>
    <w:rsid w:val="720B6741"/>
    <w:rsid w:val="747B12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qFormat/>
    <w:uiPriority w:val="0"/>
    <w:pPr>
      <w:numPr>
        <w:ilvl w:val="1"/>
        <w:numId w:val="1"/>
      </w:numPr>
      <w:spacing w:line="360" w:lineRule="auto"/>
      <w:jc w:val="left"/>
      <w:outlineLvl w:val="1"/>
    </w:pPr>
    <w:rPr>
      <w:rFonts w:eastAsia="黑体" w:cstheme="minorBidi"/>
      <w:b/>
      <w:sz w:val="32"/>
      <w:szCs w:val="32"/>
    </w:rPr>
  </w:style>
  <w:style w:type="character" w:default="1" w:styleId="5">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金皇-标题2"/>
    <w:basedOn w:val="2"/>
    <w:autoRedefine/>
    <w:qFormat/>
    <w:uiPriority w:val="0"/>
  </w:style>
  <w:style w:type="paragraph" w:customStyle="1" w:styleId="7">
    <w:name w:val="金皇-正文"/>
    <w:basedOn w:val="1"/>
    <w:autoRedefine/>
    <w:qFormat/>
    <w:uiPriority w:val="0"/>
    <w:pPr>
      <w:spacing w:line="360" w:lineRule="auto"/>
      <w:ind w:firstLine="200" w:firstLineChars="200"/>
    </w:pPr>
    <w:rPr>
      <w:rFonts w:cstheme="minorBidi"/>
      <w:sz w:val="28"/>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2665</Words>
  <Characters>2826</Characters>
  <Lines>0</Lines>
  <Paragraphs>0</Paragraphs>
  <TotalTime>31</TotalTime>
  <ScaleCrop>false</ScaleCrop>
  <LinksUpToDate>false</LinksUpToDate>
  <CharactersWithSpaces>2840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2025-06-16T09:29:00Z</dcterms:created>
  <dc:creator>寒星</dc:creator>
  <cp:lastModifiedBy>寒星</cp:lastModifiedBy>
  <cp:lastPrinted>2025-06-26T00:08:32Z</cp:lastPrinted>
  <dcterms:modified xsi:type="dcterms:W3CDTF">2025-06-26T01:24:16Z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FC4553044B09453499D6658714BB92D7_13</vt:lpwstr>
  </property>
  <property fmtid="{D5CDD505-2E9C-101B-9397-08002B2CF9AE}" pid="4" name="KSOTemplateDocerSaveRecord">
    <vt:lpwstr>eyJoZGlkIjoiYjhlYzE1ZjRkNTA2YTIwYzgxYjRkODFmMDE4NDE3NjYiLCJ1c2VySWQiOiIyNTQyMTQwMjYifQ==</vt:lpwstr>
  </property>
</Properties>
</file>