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C6F98">
      <w:pPr>
        <w:spacing w:line="240" w:lineRule="atLeast"/>
        <w:jc w:val="distribute"/>
        <w:rPr>
          <w:rFonts w:eastAsia="方正小标宋简体"/>
          <w:b/>
          <w:color w:val="FF0000"/>
          <w:w w:val="67"/>
          <w:sz w:val="84"/>
          <w:szCs w:val="84"/>
        </w:rPr>
      </w:pPr>
    </w:p>
    <w:p w14:paraId="63FC66A9">
      <w:pPr>
        <w:spacing w:line="240" w:lineRule="atLeast"/>
        <w:jc w:val="distribute"/>
        <w:rPr>
          <w:rFonts w:eastAsia="方正小标宋简体"/>
          <w:b/>
          <w:color w:val="FF0000"/>
          <w:sz w:val="84"/>
          <w:szCs w:val="84"/>
        </w:rPr>
      </w:pPr>
      <w:r>
        <w:rPr>
          <w:rFonts w:eastAsia="方正小标宋简体"/>
          <w:b/>
          <w:color w:val="FF0000"/>
          <w:w w:val="67"/>
          <w:sz w:val="84"/>
          <w:szCs w:val="84"/>
        </w:rPr>
        <w:t>清流县人民政府</w:t>
      </w:r>
    </w:p>
    <w:p w14:paraId="4C99F1A9">
      <w:pPr>
        <w:spacing w:line="480" w:lineRule="auto"/>
        <w:jc w:val="center"/>
        <w:rPr>
          <w:rFonts w:eastAsia="黑体"/>
          <w:color w:val="FF0000"/>
          <w:sz w:val="84"/>
          <w:szCs w:val="84"/>
        </w:rPr>
      </w:pPr>
      <w:r>
        <w:rPr>
          <w:rFonts w:eastAsia="黑体"/>
          <w:color w:val="FF0000"/>
          <w:spacing w:val="140"/>
          <w:w w:val="81"/>
          <w:sz w:val="84"/>
          <w:szCs w:val="84"/>
        </w:rPr>
        <w:t>专题会议纪</w:t>
      </w:r>
      <w:r>
        <w:rPr>
          <w:rFonts w:eastAsia="黑体"/>
          <w:color w:val="FF0000"/>
          <w:spacing w:val="2"/>
          <w:w w:val="81"/>
          <w:sz w:val="84"/>
          <w:szCs w:val="84"/>
        </w:rPr>
        <w:t>要</w:t>
      </w:r>
    </w:p>
    <w:p w14:paraId="083E7751">
      <w:pPr>
        <w:spacing w:line="500" w:lineRule="exact"/>
        <w:jc w:val="center"/>
        <w:rPr>
          <w:rFonts w:eastAsia="仿宋_GB2312"/>
          <w:szCs w:val="32"/>
        </w:rPr>
      </w:pPr>
    </w:p>
    <w:p w14:paraId="3303C32D">
      <w:pPr>
        <w:spacing w:line="500" w:lineRule="exact"/>
        <w:jc w:val="center"/>
        <w:rPr>
          <w:sz w:val="32"/>
          <w:szCs w:val="32"/>
        </w:rPr>
      </w:pPr>
    </w:p>
    <w:p w14:paraId="32D0E9CF">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号</w:t>
      </w:r>
    </w:p>
    <w:p w14:paraId="7E5BA71D">
      <w:pPr>
        <w:spacing w:line="600" w:lineRule="exact"/>
        <w:rPr>
          <w:rFonts w:eastAsia="方正仿宋简体"/>
          <w:szCs w:val="32"/>
        </w:rPr>
      </w:pPr>
      <w: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ge">
                  <wp:posOffset>4898390</wp:posOffset>
                </wp:positionV>
                <wp:extent cx="5210175" cy="635"/>
                <wp:effectExtent l="0" t="28575" r="1905" b="31750"/>
                <wp:wrapNone/>
                <wp:docPr id="1" name="直接连接符 1"/>
                <wp:cNvGraphicFramePr/>
                <a:graphic xmlns:a="http://schemas.openxmlformats.org/drawingml/2006/main">
                  <a:graphicData uri="http://schemas.microsoft.com/office/word/2010/wordprocessingShape">
                    <wps:wsp>
                      <wps:cNvCnPr/>
                      <wps:spPr>
                        <a:xfrm>
                          <a:off x="0" y="0"/>
                          <a:ext cx="5210175" cy="635"/>
                        </a:xfrm>
                        <a:prstGeom prst="line">
                          <a:avLst/>
                        </a:prstGeom>
                        <a:ln w="57150" cap="flat" cmpd="sng">
                          <a:solidFill>
                            <a:srgbClr val="FF0000"/>
                          </a:solidFill>
                          <a:prstDash val="solid"/>
                          <a:bevel/>
                          <a:headEnd type="none" w="med" len="med"/>
                          <a:tailEnd type="none" w="med" len="med"/>
                        </a:ln>
                        <a:effectLst/>
                      </wps:spPr>
                      <wps:bodyPr upright="1"/>
                    </wps:wsp>
                  </a:graphicData>
                </a:graphic>
              </wp:anchor>
            </w:drawing>
          </mc:Choice>
          <mc:Fallback>
            <w:pict>
              <v:line id="_x0000_s1026" o:spid="_x0000_s1026" o:spt="20" style="position:absolute;left:0pt;margin-left:13.7pt;margin-top:385.7pt;height:0.05pt;width:410.25pt;mso-position-vertical-relative:page;z-index:251659264;mso-width-relative:page;mso-height-relative:page;" filled="f" stroked="t" coordsize="21600,21600" o:gfxdata="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yf0v2QAAAAoBAAAPAAAAAAAAAAEAIAAAACIAAABkcnMv&#10;ZG93bnJldi54bWxQSwECFAAUAAAACACHTuJAW73mUgICAAD/AwAADgAAAAAAAAABACAAAAAoAQAA&#10;ZHJzL2Uyb0RvYy54bWxQSwUGAAAAAAYABgBZAQAAnAUAAAAA&#10;">
                <v:fill on="f" focussize="0,0"/>
                <v:stroke weight="4.5pt" color="#FF0000" joinstyle="bevel"/>
                <v:imagedata o:title=""/>
                <o:lock v:ext="edit" aspectratio="f"/>
              </v:line>
            </w:pict>
          </mc:Fallback>
        </mc:AlternateContent>
      </w:r>
    </w:p>
    <w:p w14:paraId="5009D75C">
      <w:pPr>
        <w:spacing w:line="580" w:lineRule="exact"/>
        <w:rPr>
          <w:rFonts w:eastAsia="方正仿宋简体"/>
          <w:szCs w:val="32"/>
        </w:rPr>
      </w:pPr>
    </w:p>
    <w:p w14:paraId="095047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县政府专题会议纪要</w:t>
      </w:r>
    </w:p>
    <w:p w14:paraId="5B9F71E8">
      <w:pPr>
        <w:keepNext w:val="0"/>
        <w:keepLines w:val="0"/>
        <w:pageBreakBefore w:val="0"/>
        <w:widowControl w:val="0"/>
        <w:kinsoku/>
        <w:wordWrap/>
        <w:overflowPunct/>
        <w:topLinePunct w:val="0"/>
        <w:autoSpaceDE/>
        <w:autoSpaceDN/>
        <w:bidi w:val="0"/>
        <w:adjustRightInd/>
        <w:snapToGrid/>
        <w:spacing w:line="520" w:lineRule="exact"/>
        <w:textAlignment w:val="auto"/>
        <w:rPr>
          <w:rFonts w:ascii="CESI仿宋-GB2312" w:hAnsi="CESI仿宋-GB2312" w:eastAsia="CESI仿宋-GB2312" w:cs="CESI仿宋-GB2312"/>
          <w:sz w:val="32"/>
          <w:szCs w:val="32"/>
        </w:rPr>
      </w:pPr>
    </w:p>
    <w:p w14:paraId="1586012D">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Calibri" w:eastAsia="仿宋_GB2312" w:cs="Arial"/>
          <w:kern w:val="2"/>
          <w:sz w:val="32"/>
          <w:szCs w:val="32"/>
          <w:shd w:val="clear" w:color="auto" w:fill="FFFFFF"/>
          <w:lang w:val="en-US" w:eastAsia="zh-CN" w:bidi="ar-SA"/>
        </w:rPr>
      </w:pPr>
      <w:r>
        <w:rPr>
          <w:rFonts w:hint="eastAsia" w:ascii="仿宋_GB2312" w:hAnsi="Calibri" w:eastAsia="仿宋_GB2312" w:cs="Arial"/>
          <w:kern w:val="2"/>
          <w:sz w:val="32"/>
          <w:szCs w:val="32"/>
          <w:shd w:val="clear" w:color="auto" w:fill="FFFFFF"/>
          <w:lang w:val="en-US" w:eastAsia="zh-CN" w:bidi="ar-SA"/>
        </w:rPr>
        <w:t>2025年11月18日下午，副县长李晓珍召集县农水局、城建中心、台创园、财政局</w:t>
      </w:r>
      <w:r>
        <w:rPr>
          <w:rFonts w:hint="eastAsia" w:ascii="仿宋_GB2312" w:hAnsi="仿宋_GB2312" w:eastAsia="仿宋_GB2312" w:cs="仿宋_GB2312"/>
          <w:sz w:val="32"/>
          <w:szCs w:val="32"/>
          <w:lang w:val="en-US" w:eastAsia="zh-CN"/>
        </w:rPr>
        <w:t>、审计局、发改局、住建局、</w:t>
      </w:r>
      <w:r>
        <w:rPr>
          <w:rFonts w:hint="eastAsia" w:ascii="仿宋_GB2312" w:hAnsi="仿宋_GB2312" w:eastAsia="仿宋_GB2312" w:cs="仿宋_GB2312"/>
          <w:kern w:val="2"/>
          <w:sz w:val="32"/>
          <w:szCs w:val="32"/>
          <w:highlight w:val="none"/>
          <w:lang w:val="en-US" w:eastAsia="zh-CN" w:bidi="ar-SA"/>
        </w:rPr>
        <w:t>自然资源局、驻县生态环境局、</w:t>
      </w:r>
      <w:r>
        <w:rPr>
          <w:rFonts w:hint="eastAsia" w:ascii="仿宋_GB2312" w:hAnsi="仿宋_GB2312" w:eastAsia="仿宋_GB2312" w:cs="仿宋_GB2312"/>
          <w:sz w:val="32"/>
          <w:szCs w:val="32"/>
          <w:highlight w:val="none"/>
          <w:lang w:val="en-US" w:eastAsia="zh-CN"/>
        </w:rPr>
        <w:t>畜牧水产中心、</w:t>
      </w:r>
      <w:r>
        <w:rPr>
          <w:rFonts w:hint="eastAsia" w:ascii="仿宋_GB2312" w:hAnsi="仿宋_GB2312" w:eastAsia="仿宋_GB2312" w:cs="仿宋_GB2312"/>
          <w:sz w:val="32"/>
          <w:szCs w:val="32"/>
          <w:lang w:val="en-US" w:eastAsia="zh-CN"/>
        </w:rPr>
        <w:t>供电公司</w:t>
      </w:r>
      <w:r>
        <w:rPr>
          <w:rFonts w:hint="eastAsia" w:ascii="仿宋_GB2312" w:hAnsi="Calibri" w:eastAsia="仿宋_GB2312" w:cs="Arial"/>
          <w:kern w:val="2"/>
          <w:sz w:val="32"/>
          <w:szCs w:val="32"/>
          <w:shd w:val="clear" w:color="auto" w:fill="FFFFFF"/>
          <w:lang w:val="en-US" w:eastAsia="zh-CN" w:bidi="ar-SA"/>
        </w:rPr>
        <w:t>等部门及各乡镇召开专题会议，讨论研究</w:t>
      </w:r>
      <w:r>
        <w:rPr>
          <w:rFonts w:hint="eastAsia" w:ascii="仿宋_GB2312" w:hAnsi="仿宋_GB2312" w:eastAsia="仿宋_GB2312" w:cs="仿宋_GB2312"/>
          <w:kern w:val="2"/>
          <w:sz w:val="32"/>
          <w:szCs w:val="32"/>
          <w:lang w:val="en-US" w:eastAsia="zh-CN" w:bidi="ar-SA"/>
        </w:rPr>
        <w:t>关于2025年清流台湾农民创业园项目资金分配方案、2025年中央新型农业经营主体培育项目资金分配方案、2025年农产品加工固定资产投资省级财政补助资金分配方案、清流县城区污水管网新建改造及污水处理厂提标改造项目（清流县城区污水处理厂一级A提标改造设备采购）及清流县生活垃圾收运处置设备更新改造项目（压缩设备采购）</w:t>
      </w:r>
      <w:r>
        <w:rPr>
          <w:rFonts w:hint="eastAsia" w:ascii="仿宋_GB2312" w:hAnsi="Calibri" w:eastAsia="仿宋_GB2312" w:cs="Arial"/>
          <w:kern w:val="2"/>
          <w:sz w:val="32"/>
          <w:szCs w:val="32"/>
          <w:shd w:val="clear" w:color="auto" w:fill="FFFFFF"/>
          <w:lang w:val="en-US" w:eastAsia="zh-CN" w:bidi="ar-SA"/>
        </w:rPr>
        <w:t>有关事宜，现将会议主要精神纪要如下：</w:t>
      </w:r>
    </w:p>
    <w:p w14:paraId="77789624">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一、关于2025年清流台湾农民创业园项目资金分配方案</w:t>
      </w:r>
    </w:p>
    <w:p w14:paraId="4D2F5FA9">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根据《福建省财政厅 福建省农业农村厅关于提前下达 2025年特色现代农业发展专项资金的通知》（闽财农指〔2024〕116号）文件要求，2025年台湾农民创业园项目安排资金400万元，用于支持园区内规模效益明显、示范带动作用强的台农台企等，进一步培育优势产业、打造特色品牌，推动台湾农民创业园建设上新水平，不断扩大台湾农民创业园的知名度和影响力。</w:t>
      </w:r>
      <w:r>
        <w:rPr>
          <w:rFonts w:hint="eastAsia" w:ascii="仿宋_GB2312" w:hAnsi="仿宋_GB2312" w:eastAsia="仿宋_GB2312" w:cs="仿宋_GB2312"/>
          <w:b/>
          <w:bCs/>
          <w:sz w:val="32"/>
          <w:szCs w:val="32"/>
          <w:lang w:val="en-US" w:eastAsia="zh-CN"/>
        </w:rPr>
        <w:t>会议原则同意</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b w:val="0"/>
          <w:bCs w:val="0"/>
          <w:sz w:val="32"/>
          <w:szCs w:val="32"/>
          <w:lang w:val="en-US" w:eastAsia="zh-CN"/>
        </w:rPr>
        <w:t>台创园提出的《2025年清流台湾农民创业园项目资金分配方案》</w:t>
      </w:r>
      <w:r>
        <w:rPr>
          <w:rFonts w:hint="eastAsia" w:ascii="仿宋_GB2312" w:hAnsi="仿宋_GB2312" w:eastAsia="仿宋_GB2312" w:cs="仿宋_GB2312"/>
          <w:sz w:val="32"/>
          <w:szCs w:val="32"/>
          <w:lang w:val="en-US" w:eastAsia="zh-CN"/>
        </w:rPr>
        <w:t>。台创园要根据会议讨论意见对资金分配方案修改完善后</w:t>
      </w:r>
      <w:r>
        <w:rPr>
          <w:rFonts w:hint="eastAsia" w:ascii="仿宋_GB2312" w:eastAsia="仿宋_GB2312"/>
          <w:sz w:val="32"/>
          <w:szCs w:val="32"/>
          <w:shd w:val="clear" w:color="auto" w:fill="FFFFFF"/>
        </w:rPr>
        <w:t>依法</w:t>
      </w:r>
      <w:r>
        <w:rPr>
          <w:rFonts w:hint="eastAsia" w:ascii="仿宋_GB2312" w:eastAsia="仿宋_GB2312"/>
          <w:sz w:val="32"/>
          <w:szCs w:val="32"/>
          <w:shd w:val="clear" w:color="auto" w:fill="FFFFFF"/>
          <w:lang w:eastAsia="zh-CN"/>
        </w:rPr>
        <w:t>依规</w:t>
      </w:r>
      <w:r>
        <w:rPr>
          <w:rFonts w:hint="eastAsia" w:ascii="仿宋_GB2312" w:hAnsi="仿宋_GB2312" w:eastAsia="仿宋_GB2312" w:cs="仿宋_GB2312"/>
          <w:sz w:val="32"/>
          <w:szCs w:val="32"/>
          <w:lang w:val="en-US" w:eastAsia="zh-CN"/>
        </w:rPr>
        <w:t>组织实施。</w:t>
      </w:r>
    </w:p>
    <w:p w14:paraId="1DB8C705">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二、关于2025年中央新型农业经营主体培育项目</w:t>
      </w:r>
      <w:r>
        <w:rPr>
          <w:rFonts w:hint="eastAsia" w:ascii="黑体" w:hAnsi="黑体" w:eastAsia="黑体" w:cs="黑体"/>
          <w:b w:val="0"/>
          <w:bCs/>
          <w:sz w:val="32"/>
          <w:szCs w:val="32"/>
          <w:lang w:val="en-US" w:eastAsia="zh-CN"/>
        </w:rPr>
        <w:t>资金</w:t>
      </w:r>
      <w:r>
        <w:rPr>
          <w:rFonts w:hint="eastAsia" w:ascii="黑体" w:hAnsi="黑体" w:eastAsia="黑体" w:cs="黑体"/>
          <w:kern w:val="2"/>
          <w:sz w:val="32"/>
          <w:szCs w:val="32"/>
          <w:shd w:val="clear" w:color="auto" w:fill="FFFFFF"/>
          <w:lang w:val="en-US" w:eastAsia="zh-CN" w:bidi="ar-SA"/>
        </w:rPr>
        <w:t>分配方案</w:t>
      </w:r>
    </w:p>
    <w:p w14:paraId="671E9E82">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根据《福建省财政厅 福建省农业农村厅关于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提前下达</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年中央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w:t>
      </w:r>
      <w:r>
        <w:rPr>
          <w:rFonts w:hint="eastAsia" w:ascii="仿宋_GB2312" w:hAnsi="仿宋_GB2312" w:eastAsia="仿宋_GB2312" w:cs="仿宋_GB2312"/>
          <w:color w:val="000000" w:themeColor="text1"/>
          <w:sz w:val="32"/>
          <w:szCs w:val="32"/>
          <w14:textFill>
            <w14:solidFill>
              <w14:schemeClr w14:val="tx1"/>
            </w14:solidFill>
          </w14:textFill>
        </w:rPr>
        <w:t>经营主体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能力提升</w:t>
      </w:r>
      <w:r>
        <w:rPr>
          <w:rFonts w:hint="eastAsia" w:ascii="仿宋_GB2312" w:hAnsi="仿宋_GB2312" w:eastAsia="仿宋_GB2312" w:cs="仿宋_GB2312"/>
          <w:color w:val="000000" w:themeColor="text1"/>
          <w:sz w:val="32"/>
          <w:szCs w:val="32"/>
          <w14:textFill>
            <w14:solidFill>
              <w14:schemeClr w14:val="tx1"/>
            </w14:solidFill>
          </w14:textFill>
        </w:rPr>
        <w:t>资金的通知》（闽财农指[2024]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号）文件精神，我县</w:t>
      </w:r>
      <w:r>
        <w:rPr>
          <w:rFonts w:hint="eastAsia" w:ascii="仿宋_GB2312" w:hAnsi="仿宋_GB2312" w:eastAsia="仿宋_GB2312" w:cs="仿宋_GB2312"/>
          <w:color w:val="000000" w:themeColor="text1"/>
          <w:sz w:val="32"/>
          <w:szCs w:val="32"/>
          <w:lang w:eastAsia="zh-CN"/>
          <w14:textFill>
            <w14:solidFill>
              <w14:schemeClr w14:val="tx1"/>
            </w14:solidFill>
          </w14:textFill>
        </w:rPr>
        <w:t>获</w:t>
      </w:r>
      <w:r>
        <w:rPr>
          <w:rFonts w:hint="eastAsia" w:ascii="仿宋_GB2312" w:hAnsi="仿宋_GB2312" w:eastAsia="仿宋_GB2312" w:cs="仿宋_GB2312"/>
          <w:color w:val="000000" w:themeColor="text1"/>
          <w:sz w:val="32"/>
          <w:szCs w:val="32"/>
          <w14:textFill>
            <w14:solidFill>
              <w14:schemeClr w14:val="tx1"/>
            </w14:solidFill>
          </w14:textFill>
        </w:rPr>
        <w:t>中央新型农业经营主体培育资金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，用于支持纳入农业农村部重点监测农民合作社名录库的农民专业合作社（联合社）、全国家庭农场“一码通”服务系统的家庭农场及新型农业经营主体辅导员。</w:t>
      </w:r>
      <w:r>
        <w:rPr>
          <w:rFonts w:hint="eastAsia" w:ascii="仿宋_GB2312" w:hAnsi="Calibri" w:eastAsia="仿宋_GB2312" w:cs="Arial"/>
          <w:b/>
          <w:bCs/>
          <w:color w:val="000000" w:themeColor="text1"/>
          <w:kern w:val="2"/>
          <w:sz w:val="32"/>
          <w:szCs w:val="32"/>
          <w:shd w:val="clear" w:color="auto" w:fill="FFFFFF"/>
          <w:lang w:val="en-US" w:eastAsia="zh-CN" w:bidi="ar-SA"/>
          <w14:textFill>
            <w14:solidFill>
              <w14:schemeClr w14:val="tx1"/>
            </w14:solidFill>
          </w14:textFill>
        </w:rPr>
        <w:t>会议原则同意</w:t>
      </w: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县农业农村和水利局提出的《2025年中央新型农业经营主体培育项目资金分配方案》。农业农村和水利局要加强项目管理，采取“先建后补”的方式，强化项目验收，</w:t>
      </w:r>
      <w:r>
        <w:rPr>
          <w:rFonts w:hint="eastAsia" w:ascii="仿宋_GB2312" w:eastAsia="仿宋_GB2312"/>
          <w:sz w:val="32"/>
          <w:szCs w:val="32"/>
          <w:shd w:val="clear" w:color="auto" w:fill="FFFFFF"/>
        </w:rPr>
        <w:t>依法</w:t>
      </w:r>
      <w:r>
        <w:rPr>
          <w:rFonts w:hint="eastAsia" w:ascii="仿宋_GB2312" w:eastAsia="仿宋_GB2312"/>
          <w:sz w:val="32"/>
          <w:szCs w:val="32"/>
          <w:shd w:val="clear" w:color="auto" w:fill="FFFFFF"/>
          <w:lang w:eastAsia="zh-CN"/>
        </w:rPr>
        <w:t>依规组织</w:t>
      </w:r>
      <w:r>
        <w:rPr>
          <w:rFonts w:hint="eastAsia" w:ascii="仿宋_GB2312" w:eastAsia="仿宋_GB2312"/>
          <w:sz w:val="32"/>
          <w:szCs w:val="32"/>
          <w:shd w:val="clear" w:color="auto" w:fill="FFFFFF"/>
        </w:rPr>
        <w:t>资金</w:t>
      </w:r>
      <w:r>
        <w:rPr>
          <w:rFonts w:hint="eastAsia" w:ascii="仿宋_GB2312" w:eastAsia="仿宋_GB2312"/>
          <w:sz w:val="32"/>
          <w:szCs w:val="32"/>
          <w:shd w:val="clear" w:color="auto" w:fill="FFFFFF"/>
          <w:lang w:eastAsia="zh-CN"/>
        </w:rPr>
        <w:t>拨付</w:t>
      </w: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，确保资金安全有效。</w:t>
      </w:r>
    </w:p>
    <w:p w14:paraId="0EAA117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关于2025年农产品加工固定资产投资省级财政补助资金分配方案</w:t>
      </w:r>
    </w:p>
    <w:p w14:paraId="3187745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shd w:val="clear" w:color="auto" w:fill="FFFFFF"/>
          <w:lang w:eastAsia="zh-CN"/>
        </w:rPr>
      </w:pP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根据《关于农产品加工固定资产投资省级财政补助有关事项的通知》（闽财农〔2024〕20号）和《关于下达2025年度省级财政衔接推进乡村振兴补助资金的通知》（闽财农指〔2025〕31号）文件，我县</w:t>
      </w:r>
      <w:r>
        <w:rPr>
          <w:rFonts w:hint="eastAsia" w:ascii="仿宋_GB2312" w:eastAsia="仿宋_GB2312" w:cs="Arial"/>
          <w:color w:val="000000" w:themeColor="text1"/>
          <w:kern w:val="2"/>
          <w:sz w:val="32"/>
          <w:szCs w:val="32"/>
          <w:shd w:val="clear" w:color="auto" w:fill="FFFFFF"/>
          <w:lang w:val="en-US" w:eastAsia="zh-CN" w:bidi="ar-SA"/>
          <w14:textFill>
            <w14:solidFill>
              <w14:schemeClr w14:val="tx1"/>
            </w14:solidFill>
          </w14:textFill>
        </w:rPr>
        <w:t>获</w:t>
      </w: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2025年农产品加工固定资产投资省级财政补助资金200万元，用于</w:t>
      </w:r>
      <w:r>
        <w:rPr>
          <w:rFonts w:hint="eastAsia" w:ascii="仿宋_GB2312" w:eastAsia="仿宋_GB2312" w:cs="Arial"/>
          <w:color w:val="000000" w:themeColor="text1"/>
          <w:kern w:val="2"/>
          <w:sz w:val="32"/>
          <w:szCs w:val="32"/>
          <w:shd w:val="clear" w:color="auto" w:fill="FFFFFF"/>
          <w:lang w:val="en-US" w:eastAsia="zh-CN" w:bidi="ar-SA"/>
          <w14:textFill>
            <w14:solidFill>
              <w14:schemeClr w14:val="tx1"/>
            </w14:solidFill>
          </w14:textFill>
        </w:rPr>
        <w:t>支持</w:t>
      </w: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县域内新型农业经营主体在2024年1月1日至2025年6月30日（税票开具时间）期间新增购置的且未获补助的加工、检测、冷藏、冷冻设备或新建冷库等</w:t>
      </w:r>
      <w:r>
        <w:rPr>
          <w:rFonts w:hint="eastAsia" w:ascii="仿宋_GB2312" w:eastAsia="仿宋_GB2312" w:cs="Arial"/>
          <w:color w:val="000000" w:themeColor="text1"/>
          <w:kern w:val="2"/>
          <w:sz w:val="32"/>
          <w:szCs w:val="32"/>
          <w:shd w:val="clear" w:color="auto" w:fill="FFFFFF"/>
          <w:lang w:val="en-US" w:eastAsia="zh-CN" w:bidi="ar-SA"/>
          <w14:textFill>
            <w14:solidFill>
              <w14:schemeClr w14:val="tx1"/>
            </w14:solidFill>
          </w14:textFill>
        </w:rPr>
        <w:t>。</w:t>
      </w:r>
      <w:r>
        <w:rPr>
          <w:rFonts w:hint="eastAsia" w:ascii="仿宋_GB2312" w:eastAsia="仿宋_GB2312" w:cs="Arial"/>
          <w:b/>
          <w:bCs/>
          <w:color w:val="000000" w:themeColor="text1"/>
          <w:kern w:val="2"/>
          <w:sz w:val="32"/>
          <w:szCs w:val="32"/>
          <w:shd w:val="clear" w:color="auto" w:fill="FFFFFF"/>
          <w:lang w:val="en-US" w:eastAsia="zh-CN" w:bidi="ar-SA"/>
          <w14:textFill>
            <w14:solidFill>
              <w14:schemeClr w14:val="tx1"/>
            </w14:solidFill>
          </w14:textFill>
        </w:rPr>
        <w:t>会议原则同意</w:t>
      </w:r>
      <w:r>
        <w:rPr>
          <w:rFonts w:hint="eastAsia" w:ascii="仿宋_GB2312" w:eastAsia="仿宋_GB2312" w:cs="Arial"/>
          <w:color w:val="000000" w:themeColor="text1"/>
          <w:kern w:val="2"/>
          <w:sz w:val="32"/>
          <w:szCs w:val="32"/>
          <w:shd w:val="clear" w:color="auto" w:fill="FFFFFF"/>
          <w:lang w:val="en-US" w:eastAsia="zh-CN" w:bidi="ar-SA"/>
          <w14:textFill>
            <w14:solidFill>
              <w14:schemeClr w14:val="tx1"/>
            </w14:solidFill>
          </w14:textFill>
        </w:rPr>
        <w:t>县农业农村和水利局提出的《2025年农产品加工固定资产投资省级财政补助资金分配方案》。农业农村和水利局</w:t>
      </w:r>
      <w:r>
        <w:rPr>
          <w:rFonts w:hint="eastAsia" w:ascii="仿宋_GB2312" w:eastAsia="仿宋_GB2312"/>
          <w:sz w:val="32"/>
          <w:szCs w:val="32"/>
          <w:shd w:val="clear" w:color="auto" w:fill="FFFFFF"/>
        </w:rPr>
        <w:t>要根据财政项目资金使用管理要求，依法</w:t>
      </w:r>
      <w:r>
        <w:rPr>
          <w:rFonts w:hint="eastAsia" w:ascii="仿宋_GB2312" w:eastAsia="仿宋_GB2312"/>
          <w:sz w:val="32"/>
          <w:szCs w:val="32"/>
          <w:shd w:val="clear" w:color="auto" w:fill="FFFFFF"/>
          <w:lang w:eastAsia="zh-CN"/>
        </w:rPr>
        <w:t>依规组织</w:t>
      </w:r>
      <w:r>
        <w:rPr>
          <w:rFonts w:hint="eastAsia" w:ascii="仿宋_GB2312" w:eastAsia="仿宋_GB2312"/>
          <w:sz w:val="32"/>
          <w:szCs w:val="32"/>
          <w:shd w:val="clear" w:color="auto" w:fill="FFFFFF"/>
        </w:rPr>
        <w:t>资金</w:t>
      </w:r>
      <w:r>
        <w:rPr>
          <w:rFonts w:hint="eastAsia" w:ascii="仿宋_GB2312" w:eastAsia="仿宋_GB2312"/>
          <w:sz w:val="32"/>
          <w:szCs w:val="32"/>
          <w:shd w:val="clear" w:color="auto" w:fill="FFFFFF"/>
          <w:lang w:eastAsia="zh-CN"/>
        </w:rPr>
        <w:t>拨付，并尽快组织二次申报。</w:t>
      </w:r>
    </w:p>
    <w:p w14:paraId="18940F3F">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lang w:val="en-US" w:eastAsia="zh-CN"/>
        </w:rPr>
      </w:pPr>
      <w:r>
        <w:rPr>
          <w:rFonts w:hint="eastAsia" w:ascii="黑体" w:hAnsi="黑体" w:eastAsia="黑体" w:cs="黑体"/>
          <w:b w:val="0"/>
          <w:bCs/>
          <w:sz w:val="32"/>
          <w:szCs w:val="32"/>
          <w:lang w:val="en-US" w:eastAsia="zh-CN"/>
        </w:rPr>
        <w:t>四、关于清流县城区污水管网新建改造及污水处理厂提标改造项目（清流县城区污水处理厂一级A提标改造设备采购）相关事宜</w:t>
      </w:r>
    </w:p>
    <w:p w14:paraId="6BC983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
          <w:b w:val="0"/>
          <w:bCs w:val="0"/>
          <w:kern w:val="2"/>
          <w:sz w:val="32"/>
          <w:szCs w:val="32"/>
          <w:shd w:val="clear" w:color="auto" w:fill="FFFFFF"/>
          <w:lang w:val="en-US" w:eastAsia="zh-CN" w:bidi="ar-SA"/>
        </w:rPr>
      </w:pPr>
      <w:r>
        <w:rPr>
          <w:rFonts w:hint="eastAsia" w:ascii="仿宋_GB2312" w:hAnsi="Calibri" w:eastAsia="仿宋_GB2312" w:cs="Arial"/>
          <w:kern w:val="2"/>
          <w:sz w:val="32"/>
          <w:szCs w:val="32"/>
          <w:shd w:val="clear" w:color="auto" w:fill="FFFFFF"/>
          <w:lang w:val="en-US" w:eastAsia="zh-CN" w:bidi="ar-SA"/>
        </w:rPr>
        <w:t>根据福建省人民政府办公厅印发《关于深化闽江流域生态环境综合治理工作措施》的通知(闽政办〔2024]12号)及福建省住房和城乡建设厅等7部门《关于印发福建省城市生活污水处理提质增效和黑臭水体治理攻坚战实施方案(2024-2025年)》的通知(闽建管〔2024〕10号)要求，清流县城区污水处理厂应在2025年底前完成尾水一级A排放提标改造工程。</w:t>
      </w:r>
      <w:r>
        <w:rPr>
          <w:rFonts w:hint="eastAsia" w:ascii="仿宋_GB2312" w:hAnsi="Calibri" w:eastAsia="仿宋_GB2312" w:cs="Arial"/>
          <w:b/>
          <w:bCs/>
          <w:kern w:val="2"/>
          <w:sz w:val="32"/>
          <w:szCs w:val="32"/>
          <w:shd w:val="clear" w:color="auto" w:fill="FFFFFF"/>
          <w:lang w:val="en-US" w:eastAsia="zh-CN" w:bidi="ar-SA"/>
        </w:rPr>
        <w:t>会议原则同意</w:t>
      </w:r>
      <w:r>
        <w:rPr>
          <w:rFonts w:hint="eastAsia" w:ascii="仿宋_GB2312" w:hAnsi="Calibri" w:eastAsia="仿宋_GB2312" w:cs="Arial"/>
          <w:b w:val="0"/>
          <w:bCs w:val="0"/>
          <w:kern w:val="2"/>
          <w:sz w:val="32"/>
          <w:szCs w:val="32"/>
          <w:shd w:val="clear" w:color="auto" w:fill="FFFFFF"/>
          <w:lang w:val="en-US" w:eastAsia="zh-CN" w:bidi="ar-SA"/>
        </w:rPr>
        <w:t>由清流县城市建设综合服务中心根据《福建省财政厅关于印发&lt;福建省政府集中采购目录及限额标准&gt;的通知》（闽财规〔2025〕16号）和《清流县人民政府办公室关于进一步加强政府采购管理工作的通知》(清政办〔2022〕94号)文件相关要求，通过</w:t>
      </w:r>
      <w:r>
        <w:rPr>
          <w:rFonts w:hint="eastAsia" w:ascii="仿宋_GB2312" w:hAnsi="Calibri" w:eastAsia="仿宋_GB2312" w:cs="Arial"/>
          <w:b/>
          <w:bCs/>
          <w:kern w:val="2"/>
          <w:sz w:val="32"/>
          <w:szCs w:val="32"/>
          <w:shd w:val="clear" w:color="auto" w:fill="FFFFFF"/>
          <w:lang w:val="en-US" w:eastAsia="zh-CN" w:bidi="ar-SA"/>
        </w:rPr>
        <w:t>公开采购的方式</w:t>
      </w:r>
      <w:r>
        <w:rPr>
          <w:rFonts w:hint="eastAsia" w:ascii="仿宋_GB2312" w:eastAsia="仿宋_GB2312"/>
          <w:sz w:val="32"/>
          <w:szCs w:val="32"/>
          <w:shd w:val="clear" w:color="auto" w:fill="FFFFFF"/>
        </w:rPr>
        <w:t>依法</w:t>
      </w:r>
      <w:r>
        <w:rPr>
          <w:rFonts w:hint="eastAsia" w:ascii="仿宋_GB2312" w:eastAsia="仿宋_GB2312"/>
          <w:sz w:val="32"/>
          <w:szCs w:val="32"/>
          <w:shd w:val="clear" w:color="auto" w:fill="FFFFFF"/>
          <w:lang w:eastAsia="zh-CN"/>
        </w:rPr>
        <w:t>依规</w:t>
      </w:r>
      <w:r>
        <w:rPr>
          <w:rFonts w:hint="eastAsia" w:ascii="仿宋_GB2312" w:hAnsi="Calibri" w:eastAsia="仿宋_GB2312" w:cs="Arial"/>
          <w:b w:val="0"/>
          <w:bCs w:val="0"/>
          <w:kern w:val="2"/>
          <w:sz w:val="32"/>
          <w:szCs w:val="32"/>
          <w:shd w:val="clear" w:color="auto" w:fill="FFFFFF"/>
          <w:lang w:val="en-US" w:eastAsia="zh-CN" w:bidi="ar-SA"/>
        </w:rPr>
        <w:t>启动实施清流县城区污水管网新建改造及污水处理厂提标改造项目（清流县城区污水处理厂一级A提标改造设备采购）。</w:t>
      </w:r>
    </w:p>
    <w:p w14:paraId="65AEADE6">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lang w:val="en-US" w:eastAsia="zh-CN"/>
        </w:rPr>
      </w:pPr>
      <w:r>
        <w:rPr>
          <w:rFonts w:hint="eastAsia" w:ascii="仿宋_GB2312" w:eastAsia="仿宋_GB2312" w:cs="Arial"/>
          <w:b/>
          <w:bCs/>
          <w:kern w:val="2"/>
          <w:sz w:val="32"/>
          <w:szCs w:val="32"/>
          <w:shd w:val="clear" w:color="auto" w:fill="FFFFFF"/>
          <w:lang w:val="en-US" w:eastAsia="zh-CN" w:bidi="ar-SA"/>
        </w:rPr>
        <w:t>会议要求，</w:t>
      </w:r>
      <w:r>
        <w:rPr>
          <w:rFonts w:hint="eastAsia" w:ascii="仿宋_GB2312" w:eastAsia="仿宋_GB2312" w:cs="Arial"/>
          <w:b w:val="0"/>
          <w:bCs w:val="0"/>
          <w:kern w:val="2"/>
          <w:sz w:val="32"/>
          <w:szCs w:val="32"/>
          <w:shd w:val="clear" w:color="auto" w:fill="FFFFFF"/>
          <w:lang w:val="en-US" w:eastAsia="zh-CN" w:bidi="ar-SA"/>
        </w:rPr>
        <w:t>①</w:t>
      </w:r>
      <w:r>
        <w:rPr>
          <w:rFonts w:hint="eastAsia" w:ascii="仿宋_GB2312" w:hAnsi="Calibri" w:eastAsia="仿宋_GB2312" w:cs="Arial"/>
          <w:b w:val="0"/>
          <w:bCs w:val="0"/>
          <w:kern w:val="2"/>
          <w:sz w:val="32"/>
          <w:szCs w:val="32"/>
          <w:shd w:val="clear" w:color="auto" w:fill="FFFFFF"/>
          <w:lang w:val="en-US" w:eastAsia="zh-CN" w:bidi="ar-SA"/>
        </w:rPr>
        <w:t>县城市建设综合服务中心</w:t>
      </w:r>
      <w:r>
        <w:rPr>
          <w:rFonts w:hint="eastAsia" w:ascii="仿宋_GB2312" w:eastAsia="仿宋_GB2312" w:cs="Arial"/>
          <w:b w:val="0"/>
          <w:bCs w:val="0"/>
          <w:kern w:val="2"/>
          <w:sz w:val="32"/>
          <w:szCs w:val="32"/>
          <w:shd w:val="clear" w:color="auto" w:fill="FFFFFF"/>
          <w:lang w:val="en-US" w:eastAsia="zh-CN" w:bidi="ar-SA"/>
        </w:rPr>
        <w:t>要及时与省环保厅对接项目进度，并根据按照倒排工期计划表，确保在2025年12月底前保时保质完成设备采购安装以及尾水一级A排放提标改造工程。②供电公司要做好项目用电保障工作。</w:t>
      </w:r>
    </w:p>
    <w:p w14:paraId="53780D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五、关于清流县生活垃圾收运处置设备更新改造项目（压缩设备采购）相关事宜</w:t>
      </w:r>
    </w:p>
    <w:p w14:paraId="07C96C30">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Calibri" w:eastAsia="仿宋_GB2312" w:cs="Arial"/>
          <w:b w:val="0"/>
          <w:bCs w:val="0"/>
          <w:kern w:val="2"/>
          <w:sz w:val="32"/>
          <w:szCs w:val="32"/>
          <w:shd w:val="clear" w:color="auto" w:fill="FFFFFF"/>
          <w:lang w:val="en-US" w:eastAsia="zh-CN" w:bidi="ar-SA"/>
        </w:rPr>
      </w:pPr>
      <w:r>
        <w:rPr>
          <w:rFonts w:hint="eastAsia" w:ascii="仿宋_GB2312" w:hAnsi="Calibri" w:eastAsia="仿宋_GB2312" w:cs="Arial"/>
          <w:color w:val="000000" w:themeColor="text1"/>
          <w:kern w:val="2"/>
          <w:sz w:val="32"/>
          <w:szCs w:val="32"/>
          <w:shd w:val="clear" w:color="auto" w:fill="FFFFFF"/>
          <w:lang w:val="en-US" w:eastAsia="zh-CN" w:bidi="ar-SA"/>
          <w14:textFill>
            <w14:solidFill>
              <w14:schemeClr w14:val="tx1"/>
            </w14:solidFill>
          </w14:textFill>
        </w:rPr>
        <w:t>根据《三明市发展和改革委员会关于做好2025年超长期特别国债资金加力扩围支持设备更新工作的通知》要求，须加快推进全县生活垃圾收运处置设备更新改造工作。</w:t>
      </w:r>
      <w:r>
        <w:rPr>
          <w:rFonts w:hint="eastAsia" w:ascii="仿宋_GB2312" w:hAnsi="Calibri" w:eastAsia="仿宋_GB2312" w:cs="Arial"/>
          <w:b/>
          <w:bCs/>
          <w:kern w:val="2"/>
          <w:sz w:val="32"/>
          <w:szCs w:val="32"/>
          <w:shd w:val="clear" w:color="auto" w:fill="FFFFFF"/>
          <w:lang w:val="en-US" w:eastAsia="zh-CN" w:bidi="ar-SA"/>
        </w:rPr>
        <w:t>会议原则同意</w:t>
      </w:r>
      <w:r>
        <w:rPr>
          <w:rFonts w:hint="eastAsia" w:ascii="仿宋_GB2312" w:hAnsi="Calibri" w:eastAsia="仿宋_GB2312" w:cs="Arial"/>
          <w:b w:val="0"/>
          <w:bCs w:val="0"/>
          <w:kern w:val="2"/>
          <w:sz w:val="32"/>
          <w:szCs w:val="32"/>
          <w:shd w:val="clear" w:color="auto" w:fill="FFFFFF"/>
          <w:lang w:val="en-US" w:eastAsia="zh-CN" w:bidi="ar-SA"/>
        </w:rPr>
        <w:t>由清流县城市建设综合服务中心根据《福建省财政厅关于印发&lt;福建省政府集中采购目录及限额标准&gt;的通知》（闽财规〔2025〕16号）和《清流县人民政府办公室关于进一步加强政府采购管理工作的通知》(清政办〔2022〕94号)文件相关要求，通过</w:t>
      </w:r>
      <w:r>
        <w:rPr>
          <w:rFonts w:hint="eastAsia" w:ascii="仿宋_GB2312" w:hAnsi="Calibri" w:eastAsia="仿宋_GB2312" w:cs="Arial"/>
          <w:b/>
          <w:bCs/>
          <w:kern w:val="2"/>
          <w:sz w:val="32"/>
          <w:szCs w:val="32"/>
          <w:shd w:val="clear" w:color="auto" w:fill="FFFFFF"/>
          <w:lang w:val="en-US" w:eastAsia="zh-CN" w:bidi="ar-SA"/>
        </w:rPr>
        <w:t>公开采购的方式</w:t>
      </w:r>
      <w:r>
        <w:rPr>
          <w:rFonts w:hint="eastAsia" w:ascii="仿宋_GB2312" w:eastAsia="仿宋_GB2312"/>
          <w:sz w:val="32"/>
          <w:szCs w:val="32"/>
          <w:shd w:val="clear" w:color="auto" w:fill="FFFFFF"/>
        </w:rPr>
        <w:t>依法</w:t>
      </w:r>
      <w:r>
        <w:rPr>
          <w:rFonts w:hint="eastAsia" w:ascii="仿宋_GB2312" w:eastAsia="仿宋_GB2312"/>
          <w:sz w:val="32"/>
          <w:szCs w:val="32"/>
          <w:shd w:val="clear" w:color="auto" w:fill="FFFFFF"/>
          <w:lang w:eastAsia="zh-CN"/>
        </w:rPr>
        <w:t>依规</w:t>
      </w:r>
      <w:r>
        <w:rPr>
          <w:rFonts w:hint="eastAsia" w:ascii="仿宋_GB2312" w:hAnsi="Calibri" w:eastAsia="仿宋_GB2312" w:cs="Arial"/>
          <w:b w:val="0"/>
          <w:bCs w:val="0"/>
          <w:kern w:val="2"/>
          <w:sz w:val="32"/>
          <w:szCs w:val="32"/>
          <w:shd w:val="clear" w:color="auto" w:fill="FFFFFF"/>
          <w:lang w:val="en-US" w:eastAsia="zh-CN" w:bidi="ar-SA"/>
        </w:rPr>
        <w:t>启动实施清流县生活垃圾收运处置设备更新改造项目（压缩设备采购）。</w:t>
      </w:r>
    </w:p>
    <w:p w14:paraId="6EB9EE96">
      <w:pPr>
        <w:pStyle w:val="6"/>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b/>
          <w:bCs/>
          <w:lang w:val="en-US" w:eastAsia="zh-CN"/>
        </w:rPr>
      </w:pPr>
      <w:r>
        <w:rPr>
          <w:rFonts w:hint="eastAsia" w:ascii="仿宋_GB2312" w:hAnsi="Calibri" w:eastAsia="仿宋_GB2312" w:cs="Arial"/>
          <w:b/>
          <w:bCs/>
          <w:kern w:val="2"/>
          <w:sz w:val="32"/>
          <w:szCs w:val="32"/>
          <w:shd w:val="clear" w:color="auto" w:fill="FFFFFF"/>
          <w:lang w:val="en-US" w:eastAsia="zh-CN" w:bidi="ar-SA"/>
        </w:rPr>
        <w:t>会议要求，</w:t>
      </w:r>
      <w:r>
        <w:rPr>
          <w:rFonts w:hint="eastAsia" w:ascii="仿宋_GB2312" w:hAnsi="Calibri" w:eastAsia="仿宋_GB2312" w:cs="Arial"/>
          <w:b w:val="0"/>
          <w:bCs w:val="0"/>
          <w:kern w:val="2"/>
          <w:sz w:val="32"/>
          <w:szCs w:val="32"/>
          <w:shd w:val="clear" w:color="auto" w:fill="FFFFFF"/>
          <w:lang w:val="en-US" w:eastAsia="zh-CN" w:bidi="ar-SA"/>
        </w:rPr>
        <w:t>①各乡镇要配合县城市建设综合服务中心做好采购方案前期编制工作。②县城市建设综合服务中心要严把设备质量安全关，加快推进设备采购安装，确保于2025年12月底前开工，推动项目早日建成投用。</w:t>
      </w:r>
    </w:p>
    <w:p w14:paraId="254DF15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sz w:val="32"/>
          <w:szCs w:val="32"/>
        </w:rPr>
        <w:t>参加人员：</w:t>
      </w:r>
      <w:r>
        <w:rPr>
          <w:rFonts w:hint="eastAsia" w:ascii="仿宋_GB2312" w:hAnsi="仿宋_GB2312" w:eastAsia="仿宋_GB2312" w:cs="仿宋_GB2312"/>
          <w:color w:val="auto"/>
          <w:sz w:val="32"/>
          <w:szCs w:val="32"/>
          <w:lang w:val="en-US" w:eastAsia="zh-CN"/>
        </w:rPr>
        <w:t>李晓珍</w:t>
      </w:r>
    </w:p>
    <w:p w14:paraId="35CB9CE5">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林佳丽（参加第一、二、三、四、五议题）</w:t>
      </w:r>
    </w:p>
    <w:p w14:paraId="63EB7FBE">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熙（参加第一、二、三议题）</w:t>
      </w:r>
    </w:p>
    <w:p w14:paraId="19DE7347">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李木青（参加第一、二议题）</w:t>
      </w:r>
      <w:r>
        <w:rPr>
          <w:rFonts w:hint="eastAsia"/>
          <w:sz w:val="32"/>
          <w:szCs w:val="32"/>
          <w:lang w:val="en-US" w:eastAsia="zh-CN"/>
        </w:rPr>
        <w:t xml:space="preserve">  </w:t>
      </w:r>
    </w:p>
    <w:p w14:paraId="77A6FDB3">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吴丽华（参加第一、四议题）</w:t>
      </w:r>
      <w:r>
        <w:rPr>
          <w:rFonts w:hint="eastAsia"/>
          <w:sz w:val="32"/>
          <w:szCs w:val="32"/>
          <w:lang w:val="en-US" w:eastAsia="zh-CN"/>
        </w:rPr>
        <w:t xml:space="preserve">        </w:t>
      </w:r>
    </w:p>
    <w:p w14:paraId="28CF5DDC">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default"/>
          <w:sz w:val="32"/>
          <w:szCs w:val="32"/>
          <w:lang w:val="en-US" w:eastAsia="zh-CN"/>
        </w:rPr>
      </w:pPr>
      <w:r>
        <w:rPr>
          <w:rFonts w:hint="eastAsia" w:ascii="仿宋_GB2312" w:hAnsi="仿宋_GB2312" w:eastAsia="仿宋_GB2312" w:cs="仿宋_GB2312"/>
          <w:color w:val="auto"/>
          <w:sz w:val="32"/>
          <w:szCs w:val="32"/>
          <w:lang w:val="en-US" w:eastAsia="zh-CN"/>
        </w:rPr>
        <w:t>李国辉、廖伟东（参加第一议题）</w:t>
      </w:r>
    </w:p>
    <w:p w14:paraId="42C18B62">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巨（参加第三议题）</w:t>
      </w:r>
    </w:p>
    <w:p w14:paraId="0526E053">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吴仁桂、姜  鹏（参加第四议题）</w:t>
      </w:r>
    </w:p>
    <w:p w14:paraId="1DC91D46">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王晓华、王其斌、曾繁尧、孙  云（参加第四、五议题）</w:t>
      </w:r>
    </w:p>
    <w:p w14:paraId="036E6BBF">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lang w:val="en-US" w:eastAsia="zh-CN"/>
        </w:rPr>
      </w:pPr>
      <w:r>
        <w:rPr>
          <w:rFonts w:hint="eastAsia" w:ascii="仿宋_GB2312" w:hAnsi="仿宋_GB2312" w:eastAsia="仿宋_GB2312" w:cs="仿宋_GB2312"/>
          <w:color w:val="auto"/>
          <w:sz w:val="32"/>
          <w:szCs w:val="32"/>
          <w:lang w:val="en-US" w:eastAsia="zh-CN"/>
        </w:rPr>
        <w:t>邹万银、李文远、张加龙、邹世毅、陈  辉、刘道海、肖治顺、陈金虎、上官玮蓥、罗剑泉、张石华、张杰、黄火坤（参加第五议题）</w:t>
      </w:r>
    </w:p>
    <w:p w14:paraId="69DCA089">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黑体" w:hAnsi="黑体" w:eastAsia="黑体" w:cs="黑体"/>
          <w:b w:val="0"/>
          <w:bCs/>
          <w:sz w:val="32"/>
          <w:szCs w:val="32"/>
        </w:rPr>
      </w:pPr>
    </w:p>
    <w:p w14:paraId="483974DC">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sz w:val="32"/>
          <w:szCs w:val="32"/>
        </w:rPr>
        <w:t>记录整理：</w:t>
      </w:r>
      <w:r>
        <w:rPr>
          <w:rFonts w:hint="eastAsia" w:ascii="仿宋_GB2312" w:hAnsi="仿宋_GB2312" w:eastAsia="仿宋_GB2312" w:cs="仿宋_GB2312"/>
          <w:color w:val="auto"/>
          <w:sz w:val="32"/>
          <w:szCs w:val="32"/>
          <w:lang w:val="en-US" w:eastAsia="zh-CN"/>
        </w:rPr>
        <w:t>李  炳</w:t>
      </w:r>
    </w:p>
    <w:p w14:paraId="7108F56C">
      <w:pPr>
        <w:pStyle w:val="2"/>
        <w:rPr>
          <w:rFonts w:hint="eastAsia"/>
          <w:lang w:val="en-US" w:eastAsia="zh-CN"/>
        </w:rPr>
      </w:pPr>
    </w:p>
    <w:p w14:paraId="23FA843E">
      <w:pPr>
        <w:rPr>
          <w:rFonts w:hint="eastAsia"/>
          <w:lang w:val="en-US" w:eastAsia="zh-CN"/>
        </w:rPr>
      </w:pPr>
    </w:p>
    <w:p w14:paraId="13E50216">
      <w:pPr>
        <w:pStyle w:val="2"/>
        <w:rPr>
          <w:rFonts w:hint="eastAsia"/>
          <w:lang w:val="en-US" w:eastAsia="zh-CN"/>
        </w:rPr>
      </w:pPr>
    </w:p>
    <w:p w14:paraId="673368FF">
      <w:pPr>
        <w:pStyle w:val="2"/>
        <w:ind w:left="0" w:leftChars="0" w:firstLine="0" w:firstLineChars="0"/>
        <w:rPr>
          <w:rFonts w:hint="eastAsia"/>
          <w:lang w:val="en-US" w:eastAsia="zh-CN"/>
        </w:rPr>
      </w:pPr>
      <w:bookmarkStart w:id="0" w:name="_GoBack"/>
      <w:bookmarkEnd w:id="0"/>
    </w:p>
    <w:p w14:paraId="6EAF62E9">
      <w:pPr>
        <w:pBdr>
          <w:bottom w:val="single" w:color="auto" w:sz="6" w:space="1"/>
        </w:pBdr>
        <w:spacing w:line="560" w:lineRule="exact"/>
        <w:rPr>
          <w:rFonts w:hint="eastAsia" w:ascii="仿宋" w:hAnsi="仿宋" w:eastAsia="仿宋" w:cs="仿宋"/>
          <w:sz w:val="32"/>
          <w:szCs w:val="32"/>
        </w:rPr>
      </w:pPr>
    </w:p>
    <w:p w14:paraId="5B75883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分送：县有关领导，</w:t>
      </w:r>
      <w:r>
        <w:rPr>
          <w:rFonts w:hint="eastAsia" w:ascii="仿宋_GB2312" w:hAnsi="仿宋_GB2312" w:eastAsia="仿宋_GB2312" w:cs="仿宋_GB2312"/>
          <w:sz w:val="30"/>
          <w:szCs w:val="30"/>
          <w:lang w:val="en-US" w:eastAsia="zh-CN"/>
        </w:rPr>
        <w:t>各有关单位</w:t>
      </w:r>
      <w:r>
        <w:rPr>
          <w:rFonts w:hint="eastAsia" w:ascii="仿宋_GB2312" w:hAnsi="仿宋_GB2312" w:eastAsia="仿宋_GB2312" w:cs="仿宋_GB2312"/>
          <w:sz w:val="30"/>
          <w:szCs w:val="30"/>
        </w:rPr>
        <w:t>。</w:t>
      </w:r>
    </w:p>
    <w:p w14:paraId="35D8860A">
      <w:pPr>
        <w:pBdr>
          <w:top w:val="single" w:color="auto" w:sz="6" w:space="1"/>
          <w:bottom w:val="single" w:color="auto" w:sz="6" w:space="1"/>
        </w:pBdr>
        <w:spacing w:line="560" w:lineRule="exact"/>
      </w:pPr>
      <w:r>
        <w:rPr>
          <w:rFonts w:hint="eastAsia" w:ascii="仿宋_GB2312" w:hAnsi="仿宋_GB2312" w:eastAsia="仿宋_GB2312" w:cs="仿宋_GB2312"/>
          <w:sz w:val="30"/>
          <w:szCs w:val="30"/>
        </w:rPr>
        <w:t xml:space="preserve">清流县人民政府办公室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EAEA3A"/>
    <w:rsid w:val="06BF4002"/>
    <w:rsid w:val="0DF7A3B0"/>
    <w:rsid w:val="1EEF94DC"/>
    <w:rsid w:val="2CFF3CBB"/>
    <w:rsid w:val="2DDFA87D"/>
    <w:rsid w:val="2E7C4C03"/>
    <w:rsid w:val="33F6D60D"/>
    <w:rsid w:val="35AA74E6"/>
    <w:rsid w:val="3736A7CF"/>
    <w:rsid w:val="37F6920C"/>
    <w:rsid w:val="37FBAFCD"/>
    <w:rsid w:val="38EF7BC0"/>
    <w:rsid w:val="3C7F2BB9"/>
    <w:rsid w:val="3DF7A301"/>
    <w:rsid w:val="3F4F5BA0"/>
    <w:rsid w:val="3FF72A04"/>
    <w:rsid w:val="47BE117F"/>
    <w:rsid w:val="47FFEB3D"/>
    <w:rsid w:val="4FBEE509"/>
    <w:rsid w:val="4FEFF675"/>
    <w:rsid w:val="55BFDC41"/>
    <w:rsid w:val="56DEC7EA"/>
    <w:rsid w:val="57D1BDC3"/>
    <w:rsid w:val="5B3DA8B1"/>
    <w:rsid w:val="5B7F0E5B"/>
    <w:rsid w:val="5CF575E0"/>
    <w:rsid w:val="5D7B918C"/>
    <w:rsid w:val="5E97BAFE"/>
    <w:rsid w:val="62A8586C"/>
    <w:rsid w:val="67BF16B4"/>
    <w:rsid w:val="67D5D547"/>
    <w:rsid w:val="67FB8EA9"/>
    <w:rsid w:val="6A8D2C54"/>
    <w:rsid w:val="6AF7D80A"/>
    <w:rsid w:val="6AFFDA49"/>
    <w:rsid w:val="6CFBA0D6"/>
    <w:rsid w:val="6DFF1765"/>
    <w:rsid w:val="6EDF779F"/>
    <w:rsid w:val="6F7B876A"/>
    <w:rsid w:val="6FBCFBE0"/>
    <w:rsid w:val="6FE75C5B"/>
    <w:rsid w:val="72E72463"/>
    <w:rsid w:val="73F7A395"/>
    <w:rsid w:val="73FE7A8B"/>
    <w:rsid w:val="74FBD19B"/>
    <w:rsid w:val="755B5BBE"/>
    <w:rsid w:val="75FF65F0"/>
    <w:rsid w:val="763E72DD"/>
    <w:rsid w:val="769792D9"/>
    <w:rsid w:val="76CF8931"/>
    <w:rsid w:val="76CFDC4B"/>
    <w:rsid w:val="76DFCC78"/>
    <w:rsid w:val="76EBD274"/>
    <w:rsid w:val="76FF116E"/>
    <w:rsid w:val="775F1F63"/>
    <w:rsid w:val="77751507"/>
    <w:rsid w:val="77F3930D"/>
    <w:rsid w:val="7A3D4A00"/>
    <w:rsid w:val="7BC541D3"/>
    <w:rsid w:val="7BF7B4FC"/>
    <w:rsid w:val="7BFA7D11"/>
    <w:rsid w:val="7C1F6EF1"/>
    <w:rsid w:val="7CAB0810"/>
    <w:rsid w:val="7CF975C9"/>
    <w:rsid w:val="7D5FDAC4"/>
    <w:rsid w:val="7DEBB12A"/>
    <w:rsid w:val="7DEF4AB1"/>
    <w:rsid w:val="7DFF9DC3"/>
    <w:rsid w:val="7E3B2042"/>
    <w:rsid w:val="7EB7140F"/>
    <w:rsid w:val="7EE34388"/>
    <w:rsid w:val="7F1A9687"/>
    <w:rsid w:val="7F2D0DF8"/>
    <w:rsid w:val="7F7B0A4F"/>
    <w:rsid w:val="7FBDE38D"/>
    <w:rsid w:val="7FBF7655"/>
    <w:rsid w:val="7FBF8BBD"/>
    <w:rsid w:val="7FCDB73E"/>
    <w:rsid w:val="7FDD44E8"/>
    <w:rsid w:val="7FDF5DDB"/>
    <w:rsid w:val="7FDFDAC6"/>
    <w:rsid w:val="7FDFE34C"/>
    <w:rsid w:val="7FEB98B4"/>
    <w:rsid w:val="7FF5C381"/>
    <w:rsid w:val="7FFE8942"/>
    <w:rsid w:val="7FFFFE77"/>
    <w:rsid w:val="94FFD51C"/>
    <w:rsid w:val="97FB7DCE"/>
    <w:rsid w:val="9D770120"/>
    <w:rsid w:val="9F79F3FD"/>
    <w:rsid w:val="9FFFBCEF"/>
    <w:rsid w:val="AF675245"/>
    <w:rsid w:val="AF7D3CF8"/>
    <w:rsid w:val="AFDD5B47"/>
    <w:rsid w:val="B7FF2C03"/>
    <w:rsid w:val="B7FFD9AD"/>
    <w:rsid w:val="B97F82B8"/>
    <w:rsid w:val="BA55CA29"/>
    <w:rsid w:val="BA7BDCEA"/>
    <w:rsid w:val="BBD7E846"/>
    <w:rsid w:val="BCFA559D"/>
    <w:rsid w:val="BE4BE689"/>
    <w:rsid w:val="BEF95658"/>
    <w:rsid w:val="BF7724FC"/>
    <w:rsid w:val="BF7F3DC5"/>
    <w:rsid w:val="BFBF178E"/>
    <w:rsid w:val="C5EE4554"/>
    <w:rsid w:val="C77BDE6C"/>
    <w:rsid w:val="D1EDDD41"/>
    <w:rsid w:val="D53F616A"/>
    <w:rsid w:val="D7F8CCA9"/>
    <w:rsid w:val="D97FD5B3"/>
    <w:rsid w:val="DB6205BF"/>
    <w:rsid w:val="DBF7599E"/>
    <w:rsid w:val="DBF766CC"/>
    <w:rsid w:val="DBFFD385"/>
    <w:rsid w:val="DF9AE404"/>
    <w:rsid w:val="DFB5B41B"/>
    <w:rsid w:val="DFBF19AD"/>
    <w:rsid w:val="DFDF535B"/>
    <w:rsid w:val="E3D7A4B6"/>
    <w:rsid w:val="E54F68D3"/>
    <w:rsid w:val="E6E78A27"/>
    <w:rsid w:val="E7BEBFF3"/>
    <w:rsid w:val="EB553237"/>
    <w:rsid w:val="EB9B36D6"/>
    <w:rsid w:val="EBFE1329"/>
    <w:rsid w:val="EEBF0519"/>
    <w:rsid w:val="EEEBAA2C"/>
    <w:rsid w:val="EF56430B"/>
    <w:rsid w:val="EFF9DD2B"/>
    <w:rsid w:val="EFFF37E3"/>
    <w:rsid w:val="EFFF9CA1"/>
    <w:rsid w:val="EFFFAC53"/>
    <w:rsid w:val="F23D71AB"/>
    <w:rsid w:val="F3ED7A5D"/>
    <w:rsid w:val="F47E0A9C"/>
    <w:rsid w:val="F5EAEA3A"/>
    <w:rsid w:val="F5FFB7C9"/>
    <w:rsid w:val="F7DDA41A"/>
    <w:rsid w:val="F9A9A55A"/>
    <w:rsid w:val="F9DF3B16"/>
    <w:rsid w:val="F9F56317"/>
    <w:rsid w:val="F9FD5160"/>
    <w:rsid w:val="FB77120D"/>
    <w:rsid w:val="FB7BEDD6"/>
    <w:rsid w:val="FB7FAFF3"/>
    <w:rsid w:val="FBD9E82D"/>
    <w:rsid w:val="FC7F6356"/>
    <w:rsid w:val="FCBFD7EB"/>
    <w:rsid w:val="FDAE3622"/>
    <w:rsid w:val="FE779B37"/>
    <w:rsid w:val="FEBFBFBD"/>
    <w:rsid w:val="FFEC1B2C"/>
    <w:rsid w:val="FFEDD8CD"/>
    <w:rsid w:val="FFFA48A1"/>
    <w:rsid w:val="FFFFA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cs="Arial"/>
      <w:szCs w:val="22"/>
    </w:rPr>
  </w:style>
  <w:style w:type="paragraph" w:styleId="3">
    <w:name w:val="Body Text Indent"/>
    <w:basedOn w:val="1"/>
    <w:next w:val="1"/>
    <w:qFormat/>
    <w:uiPriority w:val="0"/>
    <w:pPr>
      <w:ind w:firstLine="585"/>
      <w:jc w:val="left"/>
    </w:pPr>
    <w:rPr>
      <w:rFonts w:ascii="仿宋_GB2312"/>
    </w:rPr>
  </w:style>
  <w:style w:type="paragraph" w:styleId="4">
    <w:name w:val="Body Text"/>
    <w:basedOn w:val="1"/>
    <w:next w:val="2"/>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4"/>
    <w:next w:val="1"/>
    <w:qFormat/>
    <w:uiPriority w:val="0"/>
    <w:pPr>
      <w:ind w:firstLine="100" w:firstLineChars="100"/>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1293</Words>
  <Characters>1324</Characters>
  <Lines>0</Lines>
  <Paragraphs>0</Paragraphs>
  <TotalTime>0</TotalTime>
  <ScaleCrop>false</ScaleCrop>
  <LinksUpToDate>false</LinksUpToDate>
  <CharactersWithSpaces>1350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2025-09-01T03:13:00Z</dcterms:created>
  <dc:creator>柯可噢</dc:creator>
  <cp:lastModifiedBy>qlzfb</cp:lastModifiedBy>
  <cp:lastPrinted>2025-11-29T03:20:00Z</cp:lastPrinted>
  <dcterms:modified xsi:type="dcterms:W3CDTF">2025-12-02T09:00:58Z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D340E0C905D8486EB33246434DBBF909_13</vt:lpwstr>
  </property>
  <property fmtid="{D5CDD505-2E9C-101B-9397-08002B2CF9AE}" pid="4" name="KSOTemplateDocerSaveRecord">
    <vt:lpwstr>eyJoZGlkIjoiZThmODM4ZjkwOWJlNzhhOTMxMGM3ZmY0MGUyODJmNWMiLCJ1c2VySWQiOiI0MTgzOTIwMTEifQ==</vt:lpwstr>
  </property>
</Properties>
</file>