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3F010">
      <w:pPr>
        <w:spacing w:line="11887" w:lineRule="exact"/>
      </w:pPr>
      <w:r>
        <w:rPr>
          <w:position w:val="-237"/>
        </w:rPr>
        <w:drawing>
          <wp:inline distT="0" distB="0" distL="0" distR="0">
            <wp:extent cx="5041900" cy="7548245"/>
            <wp:effectExtent l="0" t="0" r="6350" b="1460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4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254C7">
      <w:pPr>
        <w:spacing w:line="11887" w:lineRule="exact"/>
        <w:sectPr>
          <w:headerReference r:id="rId5" w:type="default"/>
          <w:footerReference r:id="rId6" w:type="default"/>
          <w:pgSz w:w="7940" w:h="11900"/>
          <w:pgMar w:top="1" w:right="0" w:bottom="1" w:left="0" w:header="0" w:footer="0" w:gutter="0"/>
          <w:cols w:space="720" w:num="1"/>
        </w:sectPr>
      </w:pPr>
    </w:p>
    <w:p w14:paraId="2DEAA3D4">
      <w:pPr>
        <w:spacing w:line="455" w:lineRule="auto"/>
        <w:rPr>
          <w:rFonts w:ascii="Arial"/>
          <w:sz w:val="21"/>
        </w:rPr>
      </w:pPr>
    </w:p>
    <w:p w14:paraId="4518F624">
      <w:pPr>
        <w:spacing w:before="181" w:line="738" w:lineRule="exact"/>
        <w:ind w:left="1650"/>
        <w:rPr>
          <w:rFonts w:ascii="华文行楷" w:hAnsi="华文行楷" w:eastAsia="华文行楷" w:cs="华文行楷"/>
          <w:sz w:val="53"/>
          <w:szCs w:val="5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-544195</wp:posOffset>
            </wp:positionV>
            <wp:extent cx="5041900" cy="75565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行楷" w:hAnsi="华文行楷" w:eastAsia="华文行楷" w:cs="华文行楷"/>
          <w:color w:val="FF0010"/>
          <w:spacing w:val="55"/>
          <w:position w:val="6"/>
          <w:sz w:val="53"/>
          <w:szCs w:val="53"/>
        </w:rPr>
        <w:t>碘缺乏病宣传知识</w:t>
      </w:r>
    </w:p>
    <w:p w14:paraId="50A6937A">
      <w:pPr>
        <w:pStyle w:val="2"/>
        <w:spacing w:before="201" w:line="221" w:lineRule="auto"/>
        <w:ind w:left="1059"/>
        <w:rPr>
          <w:sz w:val="28"/>
          <w:szCs w:val="28"/>
        </w:rPr>
      </w:pPr>
      <w:r>
        <w:rPr>
          <w:color w:val="FFFFFF"/>
          <w:spacing w:val="-4"/>
          <w:sz w:val="28"/>
          <w:szCs w:val="28"/>
        </w:rPr>
        <w:t>一、什么是碘缺乏病</w:t>
      </w:r>
    </w:p>
    <w:p w14:paraId="75F7DAAB">
      <w:pPr>
        <w:pStyle w:val="2"/>
        <w:spacing w:before="293" w:line="347" w:lineRule="auto"/>
        <w:ind w:left="879" w:right="924" w:firstLine="539"/>
        <w:jc w:val="both"/>
      </w:pPr>
      <w:r>
        <w:rPr>
          <w:spacing w:val="19"/>
        </w:rPr>
        <w:t>碘缺乏病是由于自然环境碘缺乏造成机体碘营</w:t>
      </w:r>
      <w:r>
        <w:rPr>
          <w:spacing w:val="14"/>
        </w:rPr>
        <w:t xml:space="preserve"> </w:t>
      </w:r>
      <w:r>
        <w:rPr>
          <w:spacing w:val="18"/>
        </w:rPr>
        <w:t>养不良所表现的一组疾病的总称。它包括地方性甲</w:t>
      </w:r>
      <w:r>
        <w:rPr>
          <w:spacing w:val="13"/>
        </w:rPr>
        <w:t xml:space="preserve"> </w:t>
      </w:r>
      <w:r>
        <w:rPr>
          <w:spacing w:val="18"/>
        </w:rPr>
        <w:t>状腺肿、克汀病和亚克汀病、单纯性聋哑、胎儿流</w:t>
      </w:r>
      <w:r>
        <w:rPr>
          <w:spacing w:val="11"/>
        </w:rPr>
        <w:t xml:space="preserve"> </w:t>
      </w:r>
      <w:r>
        <w:rPr>
          <w:spacing w:val="18"/>
        </w:rPr>
        <w:t>产、早产、死产和先天畸形等。其中，对人类健康</w:t>
      </w:r>
      <w:r>
        <w:rPr>
          <w:spacing w:val="15"/>
        </w:rPr>
        <w:t xml:space="preserve"> </w:t>
      </w:r>
      <w:r>
        <w:rPr>
          <w:spacing w:val="12"/>
        </w:rPr>
        <w:t>的最大危害是智力损害。</w:t>
      </w:r>
    </w:p>
    <w:p w14:paraId="0548A59B">
      <w:pPr>
        <w:pStyle w:val="2"/>
        <w:spacing w:before="353" w:line="179" w:lineRule="auto"/>
        <w:ind w:left="1820"/>
        <w:rPr>
          <w:sz w:val="103"/>
          <w:szCs w:val="103"/>
        </w:rPr>
      </w:pPr>
      <w:r>
        <w:pict>
          <v:shape id="_x0000_s1026" o:spid="_x0000_s1026" o:spt="202" type="#_x0000_t202" style="position:absolute;left:0pt;margin-left:211.95pt;margin-top:32.3pt;height:26.95pt;width:89.9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E08CE35">
                  <w:pPr>
                    <w:pStyle w:val="2"/>
                    <w:spacing w:before="20" w:line="252" w:lineRule="auto"/>
                    <w:ind w:left="20" w:right="20"/>
                    <w:rPr>
                      <w:sz w:val="19"/>
                      <w:szCs w:val="19"/>
                    </w:rPr>
                  </w:pPr>
                  <w:r>
                    <w:rPr>
                      <w:spacing w:val="29"/>
                      <w:sz w:val="19"/>
                      <w:szCs w:val="19"/>
                    </w:rPr>
                    <w:t>合成甲状腺激素必</w:t>
                  </w:r>
                  <w:r>
                    <w:rPr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29"/>
                      <w:sz w:val="19"/>
                      <w:szCs w:val="19"/>
                    </w:rPr>
                    <w:t>需的原料</w:t>
                  </w:r>
                </w:p>
              </w:txbxContent>
            </v:textbox>
          </v:shape>
        </w:pict>
      </w:r>
      <w:r>
        <w:rPr>
          <w:sz w:val="103"/>
          <w:szCs w:val="103"/>
        </w:rPr>
        <w:t>碘</w:t>
      </w:r>
    </w:p>
    <w:p w14:paraId="6E67A11B">
      <w:pPr>
        <w:spacing w:line="295" w:lineRule="exact"/>
        <w:ind w:left="1870"/>
        <w:rPr>
          <w:rFonts w:ascii="Arial" w:hAnsi="Arial" w:eastAsia="Arial" w:cs="Arial"/>
          <w:sz w:val="25"/>
          <w:szCs w:val="25"/>
        </w:rPr>
      </w:pPr>
      <w:r>
        <w:rPr>
          <w:rFonts w:ascii="Arial" w:hAnsi="Arial" w:eastAsia="Arial" w:cs="Arial"/>
          <w:spacing w:val="-5"/>
          <w:sz w:val="25"/>
          <w:szCs w:val="25"/>
        </w:rPr>
        <w:t>d</w:t>
      </w:r>
      <w:r>
        <w:rPr>
          <w:rFonts w:ascii="Arial" w:hAnsi="Arial" w:eastAsia="Arial" w:cs="Arial"/>
          <w:spacing w:val="7"/>
          <w:sz w:val="25"/>
          <w:szCs w:val="25"/>
        </w:rPr>
        <w:t xml:space="preserve">      </w:t>
      </w:r>
      <w:r>
        <w:rPr>
          <w:rFonts w:ascii="Arial" w:hAnsi="Arial" w:eastAsia="Arial" w:cs="Arial"/>
          <w:spacing w:val="-5"/>
          <w:sz w:val="25"/>
          <w:szCs w:val="25"/>
        </w:rPr>
        <w:t>iǎn</w:t>
      </w:r>
    </w:p>
    <w:p w14:paraId="6F6B5059">
      <w:pPr>
        <w:pStyle w:val="2"/>
        <w:spacing w:before="39" w:line="222" w:lineRule="auto"/>
        <w:ind w:left="4259"/>
        <w:rPr>
          <w:sz w:val="19"/>
          <w:szCs w:val="19"/>
        </w:rPr>
      </w:pPr>
      <w:r>
        <w:rPr>
          <w:spacing w:val="29"/>
          <w:sz w:val="19"/>
          <w:szCs w:val="19"/>
        </w:rPr>
        <w:t>人体无法合成</w:t>
      </w:r>
    </w:p>
    <w:p w14:paraId="304AEB6C">
      <w:pPr>
        <w:spacing w:line="241" w:lineRule="auto"/>
        <w:rPr>
          <w:rFonts w:ascii="Arial"/>
          <w:sz w:val="21"/>
        </w:rPr>
      </w:pPr>
    </w:p>
    <w:p w14:paraId="790D09EA">
      <w:pPr>
        <w:spacing w:line="241" w:lineRule="auto"/>
        <w:rPr>
          <w:rFonts w:ascii="Arial"/>
          <w:sz w:val="21"/>
        </w:rPr>
      </w:pPr>
    </w:p>
    <w:p w14:paraId="338884AC">
      <w:pPr>
        <w:spacing w:line="242" w:lineRule="auto"/>
        <w:rPr>
          <w:rFonts w:ascii="Arial"/>
          <w:sz w:val="21"/>
        </w:rPr>
      </w:pPr>
    </w:p>
    <w:p w14:paraId="0A58C661">
      <w:pPr>
        <w:pStyle w:val="2"/>
        <w:spacing w:before="62" w:line="222" w:lineRule="auto"/>
        <w:ind w:left="4259"/>
        <w:rPr>
          <w:sz w:val="19"/>
          <w:szCs w:val="19"/>
        </w:rPr>
      </w:pPr>
      <w:r>
        <w:rPr>
          <w:spacing w:val="14"/>
          <w:sz w:val="19"/>
          <w:szCs w:val="19"/>
        </w:rPr>
        <w:t>自然环境(水、土壤)</w:t>
      </w:r>
    </w:p>
    <w:p w14:paraId="7D2AF9C9">
      <w:pPr>
        <w:pStyle w:val="2"/>
        <w:spacing w:before="52" w:line="222" w:lineRule="auto"/>
        <w:ind w:left="4259"/>
        <w:rPr>
          <w:sz w:val="19"/>
          <w:szCs w:val="19"/>
        </w:rPr>
      </w:pPr>
      <w:r>
        <w:rPr>
          <w:spacing w:val="29"/>
          <w:sz w:val="19"/>
          <w:szCs w:val="19"/>
        </w:rPr>
        <w:t>中缺乏</w:t>
      </w:r>
    </w:p>
    <w:p w14:paraId="0EAEAE3A">
      <w:pPr>
        <w:spacing w:line="287" w:lineRule="auto"/>
        <w:rPr>
          <w:rFonts w:ascii="Arial"/>
          <w:sz w:val="21"/>
        </w:rPr>
      </w:pPr>
    </w:p>
    <w:p w14:paraId="1249A87B">
      <w:pPr>
        <w:spacing w:line="288" w:lineRule="auto"/>
        <w:rPr>
          <w:rFonts w:ascii="Arial"/>
          <w:sz w:val="21"/>
        </w:rPr>
      </w:pPr>
    </w:p>
    <w:p w14:paraId="52A1399A">
      <w:pPr>
        <w:spacing w:line="288" w:lineRule="auto"/>
        <w:rPr>
          <w:rFonts w:ascii="Arial"/>
          <w:sz w:val="21"/>
        </w:rPr>
      </w:pPr>
    </w:p>
    <w:p w14:paraId="514E6C85">
      <w:pPr>
        <w:pStyle w:val="2"/>
        <w:spacing w:before="85" w:line="221" w:lineRule="auto"/>
        <w:ind w:left="1079"/>
      </w:pPr>
      <w:r>
        <w:rPr>
          <w:color w:val="FFFFFF"/>
          <w:spacing w:val="13"/>
        </w:rPr>
        <w:t>二、缺碘的危害有哪些</w:t>
      </w:r>
    </w:p>
    <w:p w14:paraId="4126D26F">
      <w:pPr>
        <w:pStyle w:val="2"/>
        <w:spacing w:before="297" w:line="213" w:lineRule="auto"/>
        <w:ind w:left="1419"/>
      </w:pPr>
      <w:r>
        <w:rPr>
          <w:spacing w:val="13"/>
        </w:rPr>
        <w:t>缺碘，可形成粗脖子一地方性甲状腺肿。</w:t>
      </w:r>
    </w:p>
    <w:p w14:paraId="71F560E7">
      <w:pPr>
        <w:pStyle w:val="2"/>
        <w:spacing w:before="200" w:line="213" w:lineRule="auto"/>
        <w:ind w:left="1419"/>
      </w:pPr>
      <w:r>
        <w:rPr>
          <w:spacing w:val="20"/>
        </w:rPr>
        <w:t>孕妇缺碘，影响胎儿的神经系统发育，严重的</w:t>
      </w:r>
    </w:p>
    <w:p w14:paraId="19DE8EBF">
      <w:pPr>
        <w:pStyle w:val="2"/>
        <w:spacing w:before="181" w:line="221" w:lineRule="auto"/>
        <w:ind w:left="879"/>
      </w:pPr>
      <w:r>
        <w:rPr>
          <w:spacing w:val="14"/>
        </w:rPr>
        <w:t>可致胎儿流产、早产、死产、先天畸形。</w:t>
      </w:r>
    </w:p>
    <w:p w14:paraId="281FAB1F">
      <w:pPr>
        <w:spacing w:line="221" w:lineRule="auto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52595402">
      <w:pPr>
        <w:spacing w:line="265" w:lineRule="auto"/>
        <w:rPr>
          <w:rFonts w:ascii="Arial"/>
          <w:sz w:val="21"/>
        </w:rPr>
      </w:pPr>
    </w:p>
    <w:p w14:paraId="5FE89C1E">
      <w:pPr>
        <w:spacing w:line="265" w:lineRule="auto"/>
        <w:rPr>
          <w:rFonts w:ascii="Arial"/>
          <w:sz w:val="21"/>
        </w:rPr>
      </w:pPr>
    </w:p>
    <w:p w14:paraId="2A2CF228">
      <w:pPr>
        <w:pStyle w:val="2"/>
        <w:spacing w:before="85" w:line="221" w:lineRule="auto"/>
        <w:ind w:left="1429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-592455</wp:posOffset>
            </wp:positionV>
            <wp:extent cx="5041900" cy="75565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9"/>
        </w:rPr>
        <w:t>损害儿童智力和生长发育一地方性克汀病：常</w:t>
      </w:r>
    </w:p>
    <w:p w14:paraId="57CD5571">
      <w:pPr>
        <w:pStyle w:val="2"/>
        <w:spacing w:before="182" w:line="217" w:lineRule="auto"/>
        <w:ind w:left="889"/>
      </w:pPr>
      <w:r>
        <w:rPr>
          <w:spacing w:val="13"/>
        </w:rPr>
        <w:t>有呆傻、矮小、言语不清、聋哑乃至瘫痪等残疾。</w:t>
      </w:r>
    </w:p>
    <w:p w14:paraId="6CA45BC2">
      <w:pPr>
        <w:spacing w:before="132" w:line="3200" w:lineRule="exact"/>
        <w:ind w:firstLine="1100"/>
      </w:pPr>
      <w:r>
        <w:rPr>
          <w:position w:val="-63"/>
        </w:rPr>
        <w:drawing>
          <wp:inline distT="0" distB="0" distL="0" distR="0">
            <wp:extent cx="3625215" cy="20313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5832" cy="203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1562">
      <w:pPr>
        <w:pStyle w:val="2"/>
        <w:spacing w:before="210" w:line="450" w:lineRule="exact"/>
        <w:ind w:firstLine="910"/>
      </w:pPr>
      <w:r>
        <w:rPr>
          <w:position w:val="-9"/>
        </w:rPr>
        <w:pict>
          <v:group id="_x0000_s1027" o:spid="_x0000_s1027" o:spt="203" style="height:22.55pt;width:306pt;" coordsize="6120,450">
            <o:lock v:ext="edit"/>
            <v:shape id="_x0000_s1028" o:spid="_x0000_s1028" o:spt="75" type="#_x0000_t75" style="position:absolute;left:0;top:0;height:450;width:612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29" o:spid="_x0000_s1029" o:spt="202" type="#_x0000_t202" style="position:absolute;left:-20;top:-20;height:490;width:61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EBA541">
                    <w:pPr>
                      <w:spacing w:before="148" w:line="221" w:lineRule="auto"/>
                      <w:jc w:val="right"/>
                      <w:rPr>
                        <w:rFonts w:ascii="黑体" w:hAnsi="黑体" w:eastAsia="黑体" w:cs="黑体"/>
                        <w:sz w:val="25"/>
                        <w:szCs w:val="25"/>
                      </w:rPr>
                    </w:pP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20"/>
                        <w:w w:val="80"/>
                        <w:sz w:val="25"/>
                        <w:szCs w:val="25"/>
                      </w:rPr>
                      <w:t>三、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-20"/>
                        <w:w w:val="80"/>
                        <w:sz w:val="25"/>
                        <w:szCs w:val="25"/>
                      </w:rPr>
                      <w:t>人群补碘的措施有哪些补碘的措施主要有碘盐、碘制剂和富碘食品等。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F5F6BD0">
      <w:pPr>
        <w:pStyle w:val="2"/>
        <w:spacing w:before="308" w:line="221" w:lineRule="auto"/>
        <w:ind w:left="1429"/>
      </w:pPr>
      <w:r>
        <w:rPr>
          <w:spacing w:val="12"/>
        </w:rPr>
        <w:t>主要措施是普及加碘食盐。</w:t>
      </w:r>
    </w:p>
    <w:p w14:paraId="301739E8">
      <w:pPr>
        <w:pStyle w:val="2"/>
        <w:spacing w:before="188" w:line="335" w:lineRule="auto"/>
        <w:ind w:left="899" w:right="915" w:firstLine="529"/>
      </w:pPr>
      <w:r>
        <w:rPr>
          <w:spacing w:val="19"/>
        </w:rPr>
        <w:t>通过服用含碘保健品和食用海带、紫菜、贝类</w:t>
      </w:r>
      <w:r>
        <w:rPr>
          <w:spacing w:val="13"/>
        </w:rPr>
        <w:t xml:space="preserve"> </w:t>
      </w:r>
      <w:r>
        <w:rPr>
          <w:spacing w:val="12"/>
        </w:rPr>
        <w:t>等富碘食物补碘。</w:t>
      </w:r>
    </w:p>
    <w:p w14:paraId="463FDE46">
      <w:pPr>
        <w:pStyle w:val="2"/>
        <w:spacing w:before="5" w:line="213" w:lineRule="auto"/>
        <w:ind w:left="1429"/>
      </w:pPr>
      <w:r>
        <w:rPr>
          <w:spacing w:val="13"/>
        </w:rPr>
        <w:t>特殊地区，可采用碘油或碘片补充。</w:t>
      </w:r>
    </w:p>
    <w:p w14:paraId="77E7A41B">
      <w:pPr>
        <w:spacing w:before="153" w:line="3160" w:lineRule="exact"/>
        <w:ind w:firstLine="1120"/>
      </w:pPr>
      <w:r>
        <w:rPr>
          <w:position w:val="-63"/>
        </w:rPr>
        <w:drawing>
          <wp:inline distT="0" distB="0" distL="0" distR="0">
            <wp:extent cx="3599815" cy="20066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420" cy="200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4D4E4">
      <w:pPr>
        <w:spacing w:line="3160" w:lineRule="exact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6BF04C66">
      <w:pPr>
        <w:spacing w:line="329" w:lineRule="auto"/>
        <w:rPr>
          <w:rFonts w:ascii="Arial"/>
          <w:sz w:val="21"/>
        </w:rPr>
      </w:pPr>
    </w:p>
    <w:p w14:paraId="2F1A9DDC">
      <w:pPr>
        <w:spacing w:line="330" w:lineRule="auto"/>
        <w:rPr>
          <w:rFonts w:ascii="Arial"/>
          <w:sz w:val="21"/>
        </w:rPr>
      </w:pPr>
    </w:p>
    <w:p w14:paraId="23B8FEB0">
      <w:pPr>
        <w:pStyle w:val="2"/>
        <w:spacing w:before="85" w:line="221" w:lineRule="auto"/>
        <w:ind w:left="1090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-675005</wp:posOffset>
            </wp:positionV>
            <wp:extent cx="5041900" cy="75565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14"/>
        </w:rPr>
        <w:t>四、孕妇、哺乳妇女应如何补碘妊</w:t>
      </w:r>
    </w:p>
    <w:p w14:paraId="0BFD5410">
      <w:pPr>
        <w:pStyle w:val="2"/>
        <w:spacing w:before="308" w:line="221" w:lineRule="auto"/>
        <w:ind w:left="1419"/>
      </w:pPr>
      <w:r>
        <w:rPr>
          <w:spacing w:val="42"/>
        </w:rPr>
        <w:t>娠期及哺乳妇女碘需要量比正常人增加约1</w:t>
      </w:r>
    </w:p>
    <w:p w14:paraId="20D69C61">
      <w:pPr>
        <w:pStyle w:val="2"/>
        <w:spacing w:before="188" w:line="221" w:lineRule="auto"/>
        <w:ind w:left="889"/>
      </w:pPr>
      <w:r>
        <w:rPr>
          <w:spacing w:val="29"/>
        </w:rPr>
        <w:t>倍。每天摄入5克碘盐仅可获得碘推荐量的50%左</w:t>
      </w:r>
    </w:p>
    <w:p w14:paraId="2D0DE5D2">
      <w:pPr>
        <w:pStyle w:val="2"/>
        <w:spacing w:before="188" w:line="221" w:lineRule="auto"/>
        <w:ind w:left="889"/>
      </w:pPr>
      <w:r>
        <w:rPr>
          <w:spacing w:val="36"/>
        </w:rPr>
        <w:t>右。建议外加每周适量摄入1~2次富含碘的海产</w:t>
      </w:r>
    </w:p>
    <w:p w14:paraId="61EA5C8C">
      <w:pPr>
        <w:pStyle w:val="2"/>
        <w:spacing w:before="168" w:line="213" w:lineRule="auto"/>
        <w:ind w:left="889"/>
      </w:pPr>
      <w:r>
        <w:rPr>
          <w:spacing w:val="12"/>
        </w:rPr>
        <w:t>品，例如海带、紫菜等。</w:t>
      </w:r>
    </w:p>
    <w:p w14:paraId="641327AA">
      <w:pPr>
        <w:pStyle w:val="2"/>
        <w:spacing w:before="370" w:line="263" w:lineRule="auto"/>
        <w:ind w:left="2934" w:right="2844" w:hanging="18"/>
        <w:rPr>
          <w:sz w:val="32"/>
          <w:szCs w:val="32"/>
        </w:rPr>
      </w:pPr>
      <w:r>
        <w:rPr>
          <w:b/>
          <w:bCs/>
          <w:spacing w:val="1"/>
          <w:sz w:val="43"/>
          <w:szCs w:val="43"/>
        </w:rPr>
        <w:t>适宜用量碘</w:t>
      </w:r>
      <w:r>
        <w:rPr>
          <w:spacing w:val="1"/>
          <w:sz w:val="43"/>
          <w:szCs w:val="43"/>
        </w:rPr>
        <w:t xml:space="preserve"> </w:t>
      </w:r>
      <w:r>
        <w:rPr>
          <w:b/>
          <w:bCs/>
          <w:spacing w:val="-17"/>
          <w:sz w:val="32"/>
          <w:szCs w:val="32"/>
        </w:rPr>
        <w:t>每日推荐摄入量</w:t>
      </w:r>
    </w:p>
    <w:p w14:paraId="42414129">
      <w:pPr>
        <w:spacing w:line="283" w:lineRule="auto"/>
        <w:rPr>
          <w:rFonts w:ascii="Arial"/>
          <w:sz w:val="21"/>
        </w:rPr>
      </w:pPr>
    </w:p>
    <w:p w14:paraId="19A0ADA3">
      <w:pPr>
        <w:spacing w:line="283" w:lineRule="auto"/>
        <w:rPr>
          <w:rFonts w:ascii="Arial"/>
          <w:sz w:val="21"/>
        </w:rPr>
      </w:pPr>
    </w:p>
    <w:p w14:paraId="012FF5CC">
      <w:pPr>
        <w:pStyle w:val="2"/>
        <w:spacing w:before="79" w:line="223" w:lineRule="auto"/>
        <w:ind w:left="1290"/>
        <w:rPr>
          <w:sz w:val="24"/>
          <w:szCs w:val="24"/>
        </w:rPr>
      </w:pPr>
      <w:r>
        <w:rPr>
          <w:spacing w:val="-18"/>
          <w:position w:val="4"/>
          <w:sz w:val="24"/>
          <w:szCs w:val="24"/>
        </w:rPr>
        <w:t>儿童：90-120</w:t>
      </w:r>
      <w:r>
        <w:rPr>
          <w:spacing w:val="-38"/>
          <w:position w:val="4"/>
          <w:sz w:val="24"/>
          <w:szCs w:val="24"/>
        </w:rPr>
        <w:t xml:space="preserve"> </w:t>
      </w:r>
      <w:r>
        <w:rPr>
          <w:spacing w:val="-18"/>
          <w:position w:val="4"/>
          <w:sz w:val="24"/>
          <w:szCs w:val="24"/>
        </w:rPr>
        <w:t>μ</w:t>
      </w:r>
      <w:r>
        <w:rPr>
          <w:rFonts w:ascii="Arial" w:hAnsi="Arial" w:eastAsia="Arial" w:cs="Arial"/>
          <w:spacing w:val="-18"/>
          <w:position w:val="4"/>
          <w:sz w:val="24"/>
          <w:szCs w:val="24"/>
        </w:rPr>
        <w:t>g</w:t>
      </w:r>
      <w:r>
        <w:rPr>
          <w:rFonts w:ascii="Arial" w:hAnsi="Arial" w:eastAsia="Arial" w:cs="Arial"/>
          <w:spacing w:val="1"/>
          <w:position w:val="4"/>
          <w:sz w:val="24"/>
          <w:szCs w:val="24"/>
        </w:rPr>
        <w:t xml:space="preserve">                          </w:t>
      </w:r>
      <w:r>
        <w:rPr>
          <w:rFonts w:ascii="Arial" w:hAnsi="Arial" w:eastAsia="Arial" w:cs="Arial"/>
          <w:position w:val="4"/>
          <w:sz w:val="24"/>
          <w:szCs w:val="24"/>
        </w:rPr>
        <w:t xml:space="preserve">    </w:t>
      </w:r>
      <w:r>
        <w:rPr>
          <w:b/>
          <w:bCs/>
          <w:spacing w:val="-18"/>
          <w:position w:val="-3"/>
          <w:sz w:val="24"/>
          <w:szCs w:val="24"/>
        </w:rPr>
        <w:t>成人：</w:t>
      </w:r>
      <w:r>
        <w:rPr>
          <w:spacing w:val="-18"/>
          <w:position w:val="-3"/>
          <w:sz w:val="24"/>
          <w:szCs w:val="24"/>
        </w:rPr>
        <w:t>120-150</w:t>
      </w:r>
      <w:r>
        <w:rPr>
          <w:spacing w:val="-84"/>
          <w:position w:val="-3"/>
          <w:sz w:val="24"/>
          <w:szCs w:val="24"/>
        </w:rPr>
        <w:t xml:space="preserve"> </w:t>
      </w:r>
      <w:r>
        <w:rPr>
          <w:b/>
          <w:bCs/>
          <w:spacing w:val="-18"/>
          <w:position w:val="-3"/>
          <w:sz w:val="24"/>
          <w:szCs w:val="24"/>
        </w:rPr>
        <w:t>μg</w:t>
      </w:r>
    </w:p>
    <w:p w14:paraId="5CE1A819">
      <w:pPr>
        <w:spacing w:line="416" w:lineRule="auto"/>
        <w:rPr>
          <w:rFonts w:ascii="Arial"/>
          <w:sz w:val="21"/>
        </w:rPr>
      </w:pPr>
    </w:p>
    <w:p w14:paraId="4EFE54B0">
      <w:pPr>
        <w:pStyle w:val="2"/>
        <w:spacing w:before="78" w:line="218" w:lineRule="auto"/>
        <w:ind w:left="4999"/>
        <w:rPr>
          <w:sz w:val="24"/>
          <w:szCs w:val="24"/>
        </w:rPr>
      </w:pPr>
      <w:r>
        <w:rPr>
          <w:spacing w:val="-19"/>
          <w:sz w:val="24"/>
          <w:szCs w:val="24"/>
        </w:rPr>
        <w:t>孕妇：200</w:t>
      </w:r>
      <w:r>
        <w:rPr>
          <w:spacing w:val="-57"/>
          <w:sz w:val="24"/>
          <w:szCs w:val="24"/>
        </w:rPr>
        <w:t xml:space="preserve"> </w:t>
      </w:r>
      <w:r>
        <w:rPr>
          <w:b/>
          <w:bCs/>
          <w:spacing w:val="-19"/>
          <w:sz w:val="24"/>
          <w:szCs w:val="24"/>
        </w:rPr>
        <w:t>μg</w:t>
      </w:r>
    </w:p>
    <w:p w14:paraId="5B3FEDB3">
      <w:pPr>
        <w:spacing w:line="330" w:lineRule="auto"/>
        <w:rPr>
          <w:rFonts w:ascii="Arial"/>
          <w:sz w:val="21"/>
        </w:rPr>
      </w:pPr>
    </w:p>
    <w:p w14:paraId="0D18846F">
      <w:pPr>
        <w:spacing w:line="331" w:lineRule="auto"/>
        <w:rPr>
          <w:rFonts w:ascii="Arial"/>
          <w:sz w:val="21"/>
        </w:rPr>
      </w:pPr>
    </w:p>
    <w:p w14:paraId="1F614C7D">
      <w:pPr>
        <w:pStyle w:val="2"/>
        <w:spacing w:before="85" w:line="208" w:lineRule="auto"/>
        <w:ind w:left="1093"/>
        <w:outlineLvl w:val="3"/>
      </w:pPr>
      <w:r>
        <w:rPr>
          <w:b/>
          <w:bCs/>
          <w:color w:val="FFFFFF"/>
          <w:spacing w:val="-10"/>
        </w:rPr>
        <w:t>五</w:t>
      </w:r>
      <w:r>
        <w:rPr>
          <w:color w:val="FFFFFF"/>
          <w:spacing w:val="-32"/>
        </w:rPr>
        <w:t xml:space="preserve"> </w:t>
      </w:r>
      <w:r>
        <w:rPr>
          <w:b/>
          <w:bCs/>
          <w:color w:val="FFFFFF"/>
          <w:spacing w:val="-10"/>
        </w:rPr>
        <w:t>、宝宝聪明的脑子离不开碘从在妈妈肚子里到两</w:t>
      </w:r>
    </w:p>
    <w:p w14:paraId="6E448F94">
      <w:pPr>
        <w:pStyle w:val="2"/>
        <w:spacing w:before="1" w:line="238" w:lineRule="auto"/>
        <w:ind w:left="1589" w:right="1209" w:firstLine="10"/>
      </w:pPr>
      <w:r>
        <w:rPr>
          <w:color w:val="FFFFFF"/>
          <w:spacing w:val="-4"/>
        </w:rPr>
        <w:t>周岁内，宝宝大脑神经的生长必须依靠碘合成</w:t>
      </w:r>
      <w:r>
        <w:rPr>
          <w:color w:val="FFFFFF"/>
          <w:spacing w:val="9"/>
        </w:rPr>
        <w:t xml:space="preserve"> </w:t>
      </w:r>
      <w:r>
        <w:rPr>
          <w:color w:val="FFFFFF"/>
          <w:spacing w:val="-2"/>
        </w:rPr>
        <w:t>甲状腺激素。</w:t>
      </w:r>
    </w:p>
    <w:p w14:paraId="26293EDD">
      <w:pPr>
        <w:spacing w:line="252" w:lineRule="auto"/>
        <w:rPr>
          <w:rFonts w:ascii="Arial"/>
          <w:sz w:val="21"/>
        </w:rPr>
      </w:pPr>
    </w:p>
    <w:p w14:paraId="5B12A6AB">
      <w:pPr>
        <w:pStyle w:val="2"/>
        <w:spacing w:before="85" w:line="213" w:lineRule="auto"/>
        <w:ind w:left="1419"/>
      </w:pPr>
      <w:r>
        <w:rPr>
          <w:spacing w:val="20"/>
        </w:rPr>
        <w:t>如果在此期间发生碘营养不足，都会造成脑发</w:t>
      </w:r>
    </w:p>
    <w:p w14:paraId="09C360D3">
      <w:pPr>
        <w:pStyle w:val="2"/>
        <w:spacing w:before="194" w:line="222" w:lineRule="auto"/>
        <w:ind w:left="889"/>
      </w:pPr>
      <w:r>
        <w:rPr>
          <w:spacing w:val="7"/>
        </w:rPr>
        <w:t>育不良。</w:t>
      </w:r>
    </w:p>
    <w:p w14:paraId="64100F51">
      <w:pPr>
        <w:pStyle w:val="2"/>
        <w:spacing w:before="183" w:line="213" w:lineRule="auto"/>
        <w:ind w:left="1419"/>
      </w:pPr>
      <w:r>
        <w:rPr>
          <w:spacing w:val="19"/>
        </w:rPr>
        <w:t>科学家告诉我们，发育受损的大脑就不可能达</w:t>
      </w:r>
    </w:p>
    <w:p w14:paraId="6DCBC41D">
      <w:pPr>
        <w:pStyle w:val="2"/>
        <w:spacing w:before="170" w:line="213" w:lineRule="auto"/>
        <w:ind w:left="889"/>
      </w:pPr>
      <w:r>
        <w:rPr>
          <w:spacing w:val="12"/>
        </w:rPr>
        <w:t>到正常水平， 一旦损害，终生抱撼。因此，从脑发</w:t>
      </w:r>
    </w:p>
    <w:p w14:paraId="06708DDE">
      <w:pPr>
        <w:pStyle w:val="2"/>
        <w:spacing w:before="240" w:line="213" w:lineRule="auto"/>
        <w:ind w:left="889"/>
      </w:pPr>
      <w:r>
        <w:rPr>
          <w:spacing w:val="15"/>
        </w:rPr>
        <w:t>育离不开碘这个角度上说，碘也称“智力元素”。</w:t>
      </w:r>
    </w:p>
    <w:p w14:paraId="5F807E0D">
      <w:pPr>
        <w:spacing w:line="213" w:lineRule="auto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0C5F8CE2">
      <w:pPr>
        <w:spacing w:line="308" w:lineRule="auto"/>
        <w:rPr>
          <w:rFonts w:ascii="Arial"/>
          <w:sz w:val="21"/>
        </w:rPr>
      </w:pPr>
    </w:p>
    <w:p w14:paraId="0A419569">
      <w:pPr>
        <w:spacing w:line="308" w:lineRule="auto"/>
        <w:rPr>
          <w:rFonts w:ascii="Arial"/>
          <w:sz w:val="21"/>
        </w:rPr>
      </w:pPr>
    </w:p>
    <w:p w14:paraId="2F2AF786">
      <w:pPr>
        <w:pStyle w:val="2"/>
        <w:spacing w:line="450" w:lineRule="exact"/>
        <w:ind w:firstLine="899"/>
      </w:pPr>
      <w:r>
        <w:rPr>
          <w:position w:val="-9"/>
        </w:rPr>
        <w:pict>
          <v:group id="_x0000_s1030" o:spid="_x0000_s1030" o:spt="203" style="height:22.55pt;width:254.55pt;" coordsize="5091,450">
            <o:lock v:ext="edit"/>
            <v:shape id="_x0000_s1031" o:spid="_x0000_s1031" o:spt="75" type="#_x0000_t75" style="position:absolute;left:0;top:0;height:450;width:5091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32" o:spid="_x0000_s1032" o:spt="202" type="#_x0000_t202" style="position:absolute;left:-20;top:-20;height:490;width:513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CD629C">
                    <w:pPr>
                      <w:spacing w:before="144" w:line="221" w:lineRule="auto"/>
                      <w:ind w:left="189"/>
                      <w:rPr>
                        <w:rFonts w:ascii="黑体" w:hAnsi="黑体" w:eastAsia="黑体" w:cs="黑体"/>
                        <w:sz w:val="26"/>
                        <w:szCs w:val="26"/>
                      </w:rPr>
                    </w:pPr>
                    <w:r>
                      <w:rPr>
                        <w:rFonts w:ascii="黑体" w:hAnsi="黑体" w:eastAsia="黑体" w:cs="黑体"/>
                        <w:color w:val="FFFFFF"/>
                        <w:spacing w:val="-1"/>
                        <w:sz w:val="26"/>
                        <w:szCs w:val="26"/>
                      </w:rPr>
                      <w:t>六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107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-1"/>
                        <w:sz w:val="26"/>
                        <w:szCs w:val="26"/>
                      </w:rPr>
                      <w:t>、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1"/>
                        <w:sz w:val="26"/>
                        <w:szCs w:val="26"/>
                      </w:rPr>
                      <w:t>长期食用碘盐会发生甲状腺结节吗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1DA217D">
      <w:pPr>
        <w:pStyle w:val="2"/>
        <w:spacing w:before="298" w:line="344" w:lineRule="auto"/>
        <w:ind w:left="889" w:right="953" w:firstLine="529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-933450</wp:posOffset>
            </wp:positionV>
            <wp:extent cx="5041900" cy="75565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8"/>
        </w:rPr>
        <w:t>目前没有证据证明长期食用碘盐与甲状腺结节</w:t>
      </w:r>
      <w:r>
        <w:rPr>
          <w:spacing w:val="5"/>
        </w:rPr>
        <w:t xml:space="preserve"> </w:t>
      </w:r>
      <w:r>
        <w:rPr>
          <w:spacing w:val="10"/>
        </w:rPr>
        <w:t>发生有关。</w:t>
      </w:r>
    </w:p>
    <w:p w14:paraId="48AA0865">
      <w:pPr>
        <w:pStyle w:val="2"/>
        <w:spacing w:before="5" w:line="349" w:lineRule="auto"/>
        <w:ind w:left="889" w:right="925" w:firstLine="529"/>
        <w:jc w:val="both"/>
      </w:pPr>
      <w:r>
        <w:rPr>
          <w:spacing w:val="19"/>
        </w:rPr>
        <w:t>近年来甲状腺结节的检出率明显增高，原因可</w:t>
      </w:r>
      <w:r>
        <w:rPr>
          <w:spacing w:val="13"/>
        </w:rPr>
        <w:t xml:space="preserve"> </w:t>
      </w:r>
      <w:r>
        <w:rPr>
          <w:spacing w:val="17"/>
        </w:rPr>
        <w:t>能为：第一，人们健康意识增强，定期体检的人越</w:t>
      </w:r>
      <w:r>
        <w:rPr>
          <w:spacing w:val="14"/>
        </w:rPr>
        <w:t xml:space="preserve"> </w:t>
      </w:r>
      <w:r>
        <w:rPr>
          <w:spacing w:val="31"/>
        </w:rPr>
        <w:t>来越多。第二，结节的检查技术和手段越来越先</w:t>
      </w:r>
      <w:r>
        <w:rPr>
          <w:spacing w:val="12"/>
        </w:rPr>
        <w:t xml:space="preserve"> </w:t>
      </w:r>
      <w:r>
        <w:rPr>
          <w:spacing w:val="24"/>
        </w:rPr>
        <w:t>进，临床触诊可以发现1厘米以上结节，但是高分</w:t>
      </w:r>
      <w:r>
        <w:t xml:space="preserve"> </w:t>
      </w:r>
      <w:r>
        <w:rPr>
          <w:spacing w:val="5"/>
        </w:rPr>
        <w:t>辨</w:t>
      </w:r>
      <w:r>
        <w:rPr>
          <w:rFonts w:ascii="Arial" w:hAnsi="Arial" w:eastAsia="Arial" w:cs="Arial"/>
          <w:spacing w:val="5"/>
        </w:rPr>
        <w:t>B</w:t>
      </w:r>
      <w:r>
        <w:rPr>
          <w:rFonts w:ascii="Arial" w:hAnsi="Arial" w:eastAsia="Arial" w:cs="Arial"/>
          <w:spacing w:val="-37"/>
        </w:rPr>
        <w:t xml:space="preserve"> </w:t>
      </w:r>
      <w:r>
        <w:rPr>
          <w:spacing w:val="5"/>
        </w:rPr>
        <w:t>超可以检出0.2厘米的结节。</w:t>
      </w:r>
    </w:p>
    <w:p w14:paraId="14F346A3">
      <w:pPr>
        <w:spacing w:line="3500" w:lineRule="exact"/>
        <w:ind w:firstLine="879"/>
      </w:pPr>
      <w:r>
        <w:rPr>
          <w:position w:val="-70"/>
        </w:rPr>
        <w:drawing>
          <wp:inline distT="0" distB="0" distL="0" distR="0">
            <wp:extent cx="3911600" cy="22225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1606" cy="222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025C">
      <w:pPr>
        <w:spacing w:line="347" w:lineRule="auto"/>
        <w:rPr>
          <w:rFonts w:ascii="Arial"/>
          <w:sz w:val="21"/>
        </w:rPr>
      </w:pPr>
    </w:p>
    <w:p w14:paraId="6583515E">
      <w:pPr>
        <w:pStyle w:val="2"/>
        <w:spacing w:line="450" w:lineRule="exact"/>
        <w:ind w:firstLine="899"/>
      </w:pPr>
      <w:r>
        <w:rPr>
          <w:position w:val="-9"/>
        </w:rPr>
        <w:pict>
          <v:group id="_x0000_s1033" o:spid="_x0000_s1033" o:spt="203" style="height:22.55pt;width:304.25pt;" coordsize="6085,450">
            <o:lock v:ext="edit"/>
            <v:shape id="_x0000_s1034" o:spid="_x0000_s1034" o:spt="75" type="#_x0000_t75" style="position:absolute;left:0;top:0;height:450;width:6040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35" o:spid="_x0000_s1035" o:spt="202" type="#_x0000_t202" style="position:absolute;left:-20;top:-20;height:490;width:612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0DA71D">
                    <w:pPr>
                      <w:spacing w:before="153" w:line="213" w:lineRule="auto"/>
                      <w:ind w:right="10"/>
                      <w:jc w:val="right"/>
                      <w:rPr>
                        <w:rFonts w:ascii="黑体" w:hAnsi="黑体" w:eastAsia="黑体" w:cs="黑体"/>
                        <w:sz w:val="26"/>
                        <w:szCs w:val="26"/>
                      </w:rPr>
                    </w:pPr>
                    <w:r>
                      <w:rPr>
                        <w:rFonts w:ascii="黑体" w:hAnsi="黑体" w:eastAsia="黑体" w:cs="黑体"/>
                        <w:color w:val="FFFFFF"/>
                        <w:spacing w:val="-25"/>
                        <w:sz w:val="26"/>
                        <w:szCs w:val="26"/>
                      </w:rPr>
                      <w:t>七 、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FFFFFF"/>
                        <w:spacing w:val="-25"/>
                        <w:sz w:val="26"/>
                        <w:szCs w:val="26"/>
                      </w:rPr>
                      <w:t>我省属于沿海地区，经常吃海鲜不需要吃加碘盐吗?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3A70D5F">
      <w:pPr>
        <w:pStyle w:val="2"/>
        <w:spacing w:before="298" w:line="221" w:lineRule="auto"/>
        <w:ind w:left="1419"/>
      </w:pPr>
      <w:r>
        <w:rPr>
          <w:spacing w:val="13"/>
        </w:rPr>
        <w:t>这个说法是不合理的。</w:t>
      </w:r>
    </w:p>
    <w:p w14:paraId="343C5ABA">
      <w:pPr>
        <w:pStyle w:val="2"/>
        <w:spacing w:before="187" w:line="213" w:lineRule="auto"/>
        <w:ind w:left="1419"/>
      </w:pPr>
      <w:r>
        <w:rPr>
          <w:spacing w:val="12"/>
        </w:rPr>
        <w:t>福建省不存在高碘地区，均属于需补碘地区。</w:t>
      </w:r>
    </w:p>
    <w:p w14:paraId="36E26F91">
      <w:pPr>
        <w:pStyle w:val="2"/>
        <w:spacing w:before="220" w:line="213" w:lineRule="auto"/>
        <w:ind w:left="1419"/>
      </w:pPr>
      <w:r>
        <w:rPr>
          <w:spacing w:val="23"/>
        </w:rPr>
        <w:t>根据调查，沿海地区居民膳食碘约为54.5%来</w:t>
      </w:r>
    </w:p>
    <w:p w14:paraId="3414B291">
      <w:pPr>
        <w:spacing w:line="213" w:lineRule="auto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7D58A0D7">
      <w:pPr>
        <w:spacing w:line="264" w:lineRule="auto"/>
        <w:rPr>
          <w:rFonts w:ascii="Arial"/>
          <w:sz w:val="21"/>
        </w:rPr>
      </w:pPr>
    </w:p>
    <w:p w14:paraId="090E1BE4">
      <w:pPr>
        <w:spacing w:line="265" w:lineRule="auto"/>
        <w:rPr>
          <w:rFonts w:ascii="Arial"/>
          <w:sz w:val="21"/>
        </w:rPr>
      </w:pPr>
    </w:p>
    <w:p w14:paraId="17C2ABE5">
      <w:pPr>
        <w:pStyle w:val="2"/>
        <w:spacing w:before="84" w:line="213" w:lineRule="auto"/>
        <w:ind w:left="889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-591820</wp:posOffset>
            </wp:positionV>
            <wp:extent cx="5041900" cy="755650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3"/>
        </w:rPr>
        <w:t>自于加碘食盐，来自于各类食物的碘约占42.5%,</w:t>
      </w:r>
    </w:p>
    <w:p w14:paraId="06CDA36D">
      <w:pPr>
        <w:pStyle w:val="2"/>
        <w:spacing w:before="191" w:line="221" w:lineRule="auto"/>
        <w:ind w:left="889"/>
      </w:pPr>
      <w:r>
        <w:rPr>
          <w:spacing w:val="15"/>
        </w:rPr>
        <w:t>来自于饮用水的碘占2.7%。</w:t>
      </w:r>
    </w:p>
    <w:p w14:paraId="523F3EF6">
      <w:pPr>
        <w:pStyle w:val="2"/>
        <w:spacing w:before="175" w:line="346" w:lineRule="auto"/>
        <w:ind w:left="889" w:right="934" w:firstLine="529"/>
        <w:jc w:val="both"/>
      </w:pPr>
      <w:r>
        <w:rPr>
          <w:spacing w:val="19"/>
        </w:rPr>
        <w:t>紫菜、海带等藻类富碘食物，很多居民只是偶</w:t>
      </w:r>
      <w:r>
        <w:rPr>
          <w:spacing w:val="4"/>
        </w:rPr>
        <w:t xml:space="preserve"> </w:t>
      </w:r>
      <w:r>
        <w:rPr>
          <w:spacing w:val="16"/>
        </w:rPr>
        <w:t>尔食用，并且食用前往往会多次清洗和用水浸泡，</w:t>
      </w:r>
      <w:r>
        <w:rPr>
          <w:spacing w:val="17"/>
        </w:rPr>
        <w:t xml:space="preserve"> </w:t>
      </w:r>
      <w:r>
        <w:rPr>
          <w:spacing w:val="12"/>
        </w:rPr>
        <w:t>造成碘大量丢失。</w:t>
      </w:r>
    </w:p>
    <w:p w14:paraId="5E8566EB">
      <w:pPr>
        <w:pStyle w:val="2"/>
        <w:spacing w:before="11" w:line="221" w:lineRule="auto"/>
        <w:ind w:left="1419"/>
      </w:pPr>
      <w:r>
        <w:rPr>
          <w:spacing w:val="13"/>
        </w:rPr>
        <w:t>大部分海产品碘含量跟肉蛋奶类并无差别。</w:t>
      </w:r>
    </w:p>
    <w:p w14:paraId="3F839B56">
      <w:pPr>
        <w:pStyle w:val="2"/>
        <w:spacing w:before="178" w:line="345" w:lineRule="auto"/>
        <w:ind w:left="889" w:right="909" w:firstLine="529"/>
      </w:pPr>
      <w:r>
        <w:rPr>
          <w:spacing w:val="20"/>
        </w:rPr>
        <w:t>综上所述，沿海地区居民碘摄入主要还是来自</w:t>
      </w:r>
      <w:r>
        <w:rPr>
          <w:spacing w:val="9"/>
        </w:rPr>
        <w:t xml:space="preserve"> </w:t>
      </w:r>
      <w:r>
        <w:rPr>
          <w:spacing w:val="12"/>
        </w:rPr>
        <w:t>于碘盐，需要吃加碘盐。</w:t>
      </w:r>
    </w:p>
    <w:p w14:paraId="18005AB8">
      <w:pPr>
        <w:spacing w:before="240" w:line="2600" w:lineRule="exact"/>
        <w:ind w:firstLine="1039"/>
      </w:pPr>
      <w:r>
        <w:rPr>
          <w:position w:val="-52"/>
        </w:rPr>
        <w:drawing>
          <wp:inline distT="0" distB="0" distL="0" distR="0">
            <wp:extent cx="3727450" cy="16510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27476" cy="165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6E403">
      <w:pPr>
        <w:pStyle w:val="2"/>
        <w:spacing w:before="64" w:line="221" w:lineRule="auto"/>
        <w:ind w:left="1053"/>
        <w:rPr>
          <w:sz w:val="24"/>
          <w:szCs w:val="24"/>
        </w:rPr>
      </w:pPr>
      <w:r>
        <w:rPr>
          <w:b/>
          <w:bCs/>
          <w:spacing w:val="8"/>
          <w:sz w:val="22"/>
          <w:szCs w:val="22"/>
        </w:rPr>
        <w:t>紫菜(碘含量极高)海鱼(碘含量极高)</w:t>
      </w:r>
      <w:r>
        <w:rPr>
          <w:spacing w:val="8"/>
          <w:sz w:val="22"/>
          <w:szCs w:val="22"/>
        </w:rPr>
        <w:t xml:space="preserve">   </w:t>
      </w:r>
      <w:r>
        <w:rPr>
          <w:b/>
          <w:bCs/>
          <w:spacing w:val="8"/>
          <w:sz w:val="24"/>
          <w:szCs w:val="24"/>
        </w:rPr>
        <w:t>虾(碘含量极高)</w:t>
      </w:r>
    </w:p>
    <w:p w14:paraId="6C1B3DA7">
      <w:pPr>
        <w:spacing w:line="247" w:lineRule="auto"/>
        <w:rPr>
          <w:rFonts w:ascii="Arial"/>
          <w:sz w:val="21"/>
        </w:rPr>
      </w:pPr>
    </w:p>
    <w:p w14:paraId="33DAEEE0">
      <w:pPr>
        <w:spacing w:line="248" w:lineRule="auto"/>
        <w:rPr>
          <w:rFonts w:ascii="Arial"/>
          <w:sz w:val="21"/>
        </w:rPr>
      </w:pPr>
    </w:p>
    <w:p w14:paraId="7FDE3715">
      <w:pPr>
        <w:pStyle w:val="2"/>
        <w:spacing w:before="1" w:line="450" w:lineRule="exact"/>
        <w:ind w:firstLine="899"/>
      </w:pPr>
      <w:r>
        <w:rPr>
          <w:position w:val="-8"/>
        </w:rPr>
        <w:pict>
          <v:group id="_x0000_s1036" o:spid="_x0000_s1036" o:spt="203" style="height:22.5pt;width:181.05pt;" coordsize="3621,450">
            <o:lock v:ext="edit"/>
            <v:shape id="_x0000_s1037" o:spid="_x0000_s1037" o:spt="75" type="#_x0000_t75" style="position:absolute;left:0;top:0;height:450;width:3621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38" o:spid="_x0000_s1038" o:spt="202" type="#_x0000_t202" style="position:absolute;left:-20;top:-20;height:490;width:366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367919">
                    <w:pPr>
                      <w:spacing w:before="148" w:line="221" w:lineRule="auto"/>
                      <w:ind w:left="189"/>
                      <w:rPr>
                        <w:rFonts w:ascii="黑体" w:hAnsi="黑体" w:eastAsia="黑体" w:cs="黑体"/>
                        <w:sz w:val="26"/>
                        <w:szCs w:val="26"/>
                      </w:rPr>
                    </w:pPr>
                    <w:r>
                      <w:rPr>
                        <w:rFonts w:ascii="黑体" w:hAnsi="黑体" w:eastAsia="黑体" w:cs="黑体"/>
                        <w:color w:val="FFFFFF"/>
                        <w:spacing w:val="16"/>
                        <w:sz w:val="26"/>
                        <w:szCs w:val="26"/>
                      </w:rPr>
                      <w:t>八、如何有效的吃加碘盐?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5978F86">
      <w:pPr>
        <w:pStyle w:val="2"/>
        <w:spacing w:before="297" w:line="345" w:lineRule="auto"/>
        <w:ind w:left="889" w:right="933" w:firstLine="529"/>
      </w:pPr>
      <w:r>
        <w:rPr>
          <w:spacing w:val="19"/>
        </w:rPr>
        <w:t>我国在食盐中加碘主要使用碘酸钾，碘酸钾在</w:t>
      </w:r>
      <w:r>
        <w:rPr>
          <w:spacing w:val="5"/>
        </w:rPr>
        <w:t xml:space="preserve"> </w:t>
      </w:r>
      <w:r>
        <w:rPr>
          <w:spacing w:val="17"/>
        </w:rPr>
        <w:t>高温等情况下，会迅速分解生成碘挥发，所以碘盐</w:t>
      </w:r>
    </w:p>
    <w:p w14:paraId="137C02BF">
      <w:pPr>
        <w:pStyle w:val="2"/>
        <w:spacing w:before="20" w:line="222" w:lineRule="auto"/>
        <w:ind w:left="889"/>
      </w:pPr>
      <w:r>
        <w:rPr>
          <w:spacing w:val="6"/>
        </w:rPr>
        <w:t>食用应注意：</w:t>
      </w:r>
    </w:p>
    <w:p w14:paraId="4445A7B2">
      <w:pPr>
        <w:pStyle w:val="2"/>
        <w:spacing w:before="157" w:line="221" w:lineRule="auto"/>
        <w:ind w:left="1419"/>
      </w:pPr>
      <w:r>
        <w:rPr>
          <w:spacing w:val="13"/>
        </w:rPr>
        <w:t>将加碘盐存放在密封、干燥、避光的容器中。</w:t>
      </w:r>
    </w:p>
    <w:p w14:paraId="30DDDDB7">
      <w:pPr>
        <w:spacing w:line="221" w:lineRule="auto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7270A627">
      <w:pPr>
        <w:spacing w:line="264" w:lineRule="auto"/>
        <w:rPr>
          <w:rFonts w:ascii="Arial"/>
          <w:sz w:val="21"/>
        </w:rPr>
      </w:pPr>
    </w:p>
    <w:p w14:paraId="0EC6BAEC">
      <w:pPr>
        <w:spacing w:line="265" w:lineRule="auto"/>
        <w:rPr>
          <w:rFonts w:ascii="Arial"/>
          <w:sz w:val="21"/>
        </w:rPr>
      </w:pPr>
    </w:p>
    <w:p w14:paraId="15941C12">
      <w:pPr>
        <w:pStyle w:val="2"/>
        <w:spacing w:before="84" w:line="348" w:lineRule="auto"/>
        <w:ind w:right="18" w:firstLine="550"/>
      </w:pPr>
      <w:r>
        <w:rPr>
          <w:spacing w:val="19"/>
        </w:rPr>
        <w:t>尽量在烹饪结束前再加入加碘盐，以减少高温</w:t>
      </w:r>
      <w:r>
        <w:rPr>
          <w:spacing w:val="10"/>
        </w:rPr>
        <w:t xml:space="preserve"> </w:t>
      </w:r>
      <w:r>
        <w:rPr>
          <w:spacing w:val="13"/>
        </w:rPr>
        <w:t>对碘的破坏。</w:t>
      </w:r>
    </w:p>
    <w:p w14:paraId="75D2BE20">
      <w:pPr>
        <w:pStyle w:val="2"/>
        <w:spacing w:before="2" w:line="345" w:lineRule="auto"/>
        <w:ind w:left="20" w:right="16" w:firstLine="529"/>
      </w:pPr>
      <w:r>
        <w:rPr>
          <w:spacing w:val="19"/>
        </w:rPr>
        <w:t>加碘盐应少量分装，避免储存时间过长导致碘</w:t>
      </w:r>
      <w:r>
        <w:rPr>
          <w:spacing w:val="12"/>
        </w:rPr>
        <w:t xml:space="preserve"> </w:t>
      </w:r>
      <w:r>
        <w:rPr>
          <w:spacing w:val="10"/>
        </w:rPr>
        <w:t>含量降低。</w:t>
      </w:r>
    </w:p>
    <w:p w14:paraId="2A89A75B">
      <w:pPr>
        <w:pStyle w:val="2"/>
        <w:spacing w:before="118" w:line="3330" w:lineRule="exact"/>
      </w:pPr>
      <w:r>
        <w:rPr>
          <w:position w:val="-66"/>
        </w:rPr>
        <w:pict>
          <v:group id="_x0000_s1039" o:spid="_x0000_s1039" o:spt="203" style="height:166.55pt;width:308.05pt;" coordsize="6160,3331">
            <o:lock v:ext="edit"/>
            <v:shape id="_x0000_s1040" o:spid="_x0000_s1040" o:spt="75" type="#_x0000_t75" style="position:absolute;left:0;top:0;height:3331;width:6160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41" o:spid="_x0000_s1041" o:spt="202" type="#_x0000_t202" style="position:absolute;left:-20;top:-20;height:3371;width:62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1B2C4B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348EDD78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42783E58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7DA40021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45F99BBB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600261EF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03FE8DAE">
                    <w:pPr>
                      <w:spacing w:before="48" w:line="221" w:lineRule="auto"/>
                      <w:ind w:left="3450"/>
                      <w:rPr>
                        <w:rFonts w:ascii="黑体" w:hAnsi="黑体" w:eastAsia="黑体" w:cs="黑体"/>
                        <w:sz w:val="15"/>
                        <w:szCs w:val="15"/>
                      </w:rPr>
                    </w:pPr>
                    <w:r>
                      <w:rPr>
                        <w:rFonts w:ascii="黑体" w:hAnsi="黑体" w:eastAsia="黑体" w:cs="黑体"/>
                        <w:color w:val="FFFFFF"/>
                        <w:spacing w:val="13"/>
                        <w:sz w:val="15"/>
                        <w:szCs w:val="15"/>
                      </w:rPr>
                      <w:t>新分装</w:t>
                    </w:r>
                  </w:p>
                  <w:p w14:paraId="25AB1CDB">
                    <w:pPr>
                      <w:rPr>
                        <w:rFonts w:ascii="Arial"/>
                        <w:sz w:val="21"/>
                      </w:rPr>
                    </w:pPr>
                  </w:p>
                  <w:p w14:paraId="5CBFC5E7"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 w14:paraId="3741E8D2">
                    <w:pPr>
                      <w:spacing w:before="46" w:line="221" w:lineRule="auto"/>
                      <w:ind w:left="3300"/>
                      <w:rPr>
                        <w:rFonts w:ascii="黑体" w:hAnsi="黑体" w:eastAsia="黑体" w:cs="黑体"/>
                        <w:sz w:val="14"/>
                        <w:szCs w:val="14"/>
                      </w:rPr>
                    </w:pPr>
                    <w:r>
                      <w:rPr>
                        <w:rFonts w:ascii="黑体" w:hAnsi="黑体" w:eastAsia="黑体" w:cs="黑体"/>
                        <w:color w:val="B0E0F0"/>
                        <w:spacing w:val="-14"/>
                        <w:sz w:val="14"/>
                        <w:szCs w:val="14"/>
                      </w:rPr>
                      <w:t>碘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3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14"/>
                        <w:sz w:val="14"/>
                        <w:szCs w:val="14"/>
                      </w:rPr>
                      <w:t>含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2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14"/>
                        <w:sz w:val="14"/>
                        <w:szCs w:val="14"/>
                      </w:rPr>
                      <w:t>量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3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14"/>
                        <w:sz w:val="14"/>
                        <w:szCs w:val="14"/>
                      </w:rPr>
                      <w:t>：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-14"/>
                        <w:sz w:val="14"/>
                        <w:szCs w:val="14"/>
                      </w:rPr>
                      <w:t>正常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5"/>
                        <w:sz w:val="14"/>
                        <w:szCs w:val="14"/>
                      </w:rPr>
                      <w:t xml:space="preserve">         </w:t>
                    </w:r>
                    <w:r>
                      <w:rPr>
                        <w:rFonts w:ascii="黑体" w:hAnsi="黑体" w:eastAsia="黑体" w:cs="黑体"/>
                        <w:color w:val="B0E0F0"/>
                        <w:spacing w:val="-14"/>
                        <w:sz w:val="14"/>
                        <w:szCs w:val="14"/>
                      </w:rPr>
                      <w:t>碘含量：</w:t>
                    </w:r>
                    <w:r>
                      <w:rPr>
                        <w:rFonts w:ascii="黑体" w:hAnsi="黑体" w:eastAsia="黑体" w:cs="黑体"/>
                        <w:color w:val="FFFFFF"/>
                        <w:spacing w:val="-14"/>
                        <w:sz w:val="14"/>
                        <w:szCs w:val="14"/>
                      </w:rPr>
                      <w:t>降低</w:t>
                    </w:r>
                  </w:p>
                  <w:p w14:paraId="4B427C4D"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</w:p>
                  <w:p w14:paraId="19C1B629">
                    <w:pPr>
                      <w:spacing w:before="71" w:line="213" w:lineRule="auto"/>
                      <w:ind w:left="679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color w:val="502020"/>
                        <w:spacing w:val="-20"/>
                        <w:sz w:val="22"/>
                        <w:szCs w:val="22"/>
                      </w:rPr>
                      <w:t>加碘盐应少量分装，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color w:val="502020"/>
                        <w:spacing w:val="-20"/>
                        <w:sz w:val="22"/>
                        <w:szCs w:val="22"/>
                      </w:rPr>
                      <w:t>避免储存时间过长导致碘含量降低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B53E17D">
      <w:pPr>
        <w:spacing w:line="3330" w:lineRule="exact"/>
        <w:sectPr>
          <w:pgSz w:w="7940" w:h="11900"/>
          <w:pgMar w:top="400" w:right="899" w:bottom="400" w:left="879" w:header="0" w:footer="0" w:gutter="0"/>
          <w:cols w:space="720" w:num="1"/>
        </w:sectPr>
      </w:pPr>
    </w:p>
    <w:p w14:paraId="26630D6B">
      <w:pPr>
        <w:spacing w:line="372" w:lineRule="auto"/>
        <w:rPr>
          <w:rFonts w:ascii="Arial"/>
          <w:sz w:val="21"/>
        </w:rPr>
      </w:pPr>
    </w:p>
    <w:p w14:paraId="5915FFE9">
      <w:pPr>
        <w:spacing w:before="194" w:line="792" w:lineRule="exact"/>
        <w:ind w:left="1640"/>
        <w:rPr>
          <w:rFonts w:ascii="华文行楷" w:hAnsi="华文行楷" w:eastAsia="华文行楷" w:cs="华文行楷"/>
          <w:sz w:val="57"/>
          <w:szCs w:val="57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5041900" cy="755650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行楷" w:hAnsi="华文行楷" w:eastAsia="华文行楷" w:cs="华文行楷"/>
          <w:color w:val="FF0020"/>
          <w:spacing w:val="13"/>
          <w:position w:val="6"/>
          <w:sz w:val="57"/>
          <w:szCs w:val="57"/>
        </w:rPr>
        <w:t>食用盐选购指南</w:t>
      </w:r>
    </w:p>
    <w:p w14:paraId="1BF37A26">
      <w:pPr>
        <w:pStyle w:val="2"/>
        <w:spacing w:before="86" w:line="348" w:lineRule="auto"/>
        <w:ind w:left="889" w:right="926" w:firstLine="529"/>
      </w:pPr>
      <w:r>
        <w:rPr>
          <w:spacing w:val="19"/>
        </w:rPr>
        <w:t>随着人们生活水平的提高，作为百味之首的食</w:t>
      </w:r>
      <w:r>
        <w:rPr>
          <w:spacing w:val="11"/>
        </w:rPr>
        <w:t xml:space="preserve"> </w:t>
      </w:r>
      <w:r>
        <w:rPr>
          <w:spacing w:val="18"/>
        </w:rPr>
        <w:t>用盐，也出现了许许多多的新品种。选择多了，担</w:t>
      </w:r>
      <w:r>
        <w:rPr>
          <w:spacing w:val="1"/>
        </w:rPr>
        <w:t xml:space="preserve"> </w:t>
      </w:r>
      <w:r>
        <w:rPr>
          <w:spacing w:val="31"/>
        </w:rPr>
        <w:t>心也多了，关于盐的选购，我们应该注意些什么</w:t>
      </w:r>
      <w:r>
        <w:rPr>
          <w:spacing w:val="11"/>
        </w:rPr>
        <w:t xml:space="preserve"> </w:t>
      </w:r>
      <w:r>
        <w:rPr>
          <w:spacing w:val="14"/>
        </w:rPr>
        <w:t>呢?</w:t>
      </w:r>
    </w:p>
    <w:p w14:paraId="7C1D177C">
      <w:pPr>
        <w:pStyle w:val="2"/>
        <w:spacing w:before="10" w:line="221" w:lineRule="auto"/>
        <w:ind w:left="1419"/>
      </w:pPr>
      <w:r>
        <w:rPr>
          <w:spacing w:val="11"/>
        </w:rPr>
        <w:t>方法一：看包装</w:t>
      </w:r>
    </w:p>
    <w:p w14:paraId="21828F3D">
      <w:pPr>
        <w:pStyle w:val="2"/>
        <w:spacing w:before="168" w:line="334" w:lineRule="auto"/>
        <w:ind w:left="889" w:right="918" w:firstLine="529"/>
        <w:rPr>
          <w:rFonts w:hint="eastAsia" w:eastAsia="黑体"/>
          <w:lang w:eastAsia="zh-CN"/>
        </w:rPr>
      </w:pPr>
      <w:r>
        <w:rPr>
          <w:spacing w:val="19"/>
        </w:rPr>
        <w:t>正规小包装食盐包装材质好，图案清晰色泽鲜</w:t>
      </w:r>
      <w:r>
        <w:rPr>
          <w:spacing w:val="9"/>
        </w:rPr>
        <w:t xml:space="preserve"> </w:t>
      </w:r>
      <w:r>
        <w:rPr>
          <w:spacing w:val="18"/>
        </w:rPr>
        <w:t>明、封口平整</w:t>
      </w:r>
      <w:r>
        <w:rPr>
          <w:rFonts w:hint="eastAsia"/>
          <w:spacing w:val="18"/>
          <w:lang w:eastAsia="zh-CN"/>
        </w:rPr>
        <w:t>。</w:t>
      </w:r>
    </w:p>
    <w:p w14:paraId="707AAA2E">
      <w:pPr>
        <w:spacing w:line="3450" w:lineRule="exact"/>
        <w:ind w:firstLine="910"/>
      </w:pPr>
      <w:r>
        <w:rPr>
          <w:position w:val="-68"/>
        </w:rPr>
        <w:drawing>
          <wp:inline distT="0" distB="0" distL="0" distR="0">
            <wp:extent cx="3860165" cy="219011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60784" cy="219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5E40">
      <w:pPr>
        <w:pStyle w:val="2"/>
        <w:spacing w:before="188" w:line="221" w:lineRule="auto"/>
        <w:ind w:left="1419"/>
      </w:pPr>
      <w:r>
        <w:rPr>
          <w:spacing w:val="13"/>
        </w:rPr>
        <w:t>方法二：看外观尝味道</w:t>
      </w:r>
    </w:p>
    <w:p w14:paraId="41EEBBEF">
      <w:pPr>
        <w:pStyle w:val="2"/>
        <w:spacing w:before="188" w:line="213" w:lineRule="auto"/>
        <w:ind w:left="1419"/>
      </w:pPr>
      <w:r>
        <w:rPr>
          <w:spacing w:val="20"/>
        </w:rPr>
        <w:t>优质食盐通常为白色或透明的结晶，颗粒均匀</w:t>
      </w:r>
    </w:p>
    <w:p w14:paraId="0989E34E">
      <w:pPr>
        <w:pStyle w:val="2"/>
        <w:spacing w:before="220" w:line="213" w:lineRule="auto"/>
        <w:ind w:left="889"/>
      </w:pPr>
      <w:r>
        <w:rPr>
          <w:spacing w:val="19"/>
        </w:rPr>
        <w:t>细腻，具有纯正的咸味，不会带有苦味、涩味等其</w:t>
      </w:r>
    </w:p>
    <w:p w14:paraId="2F1CD12F">
      <w:pPr>
        <w:spacing w:line="213" w:lineRule="auto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132017C7">
      <w:pPr>
        <w:spacing w:line="260" w:lineRule="auto"/>
        <w:rPr>
          <w:rFonts w:ascii="Arial"/>
          <w:sz w:val="21"/>
        </w:rPr>
      </w:pPr>
    </w:p>
    <w:p w14:paraId="10DF64DB">
      <w:pPr>
        <w:spacing w:line="261" w:lineRule="auto"/>
        <w:rPr>
          <w:rFonts w:ascii="Arial"/>
          <w:sz w:val="21"/>
        </w:rPr>
      </w:pPr>
    </w:p>
    <w:p w14:paraId="20EA3C96">
      <w:pPr>
        <w:pStyle w:val="2"/>
        <w:spacing w:before="84" w:line="334" w:lineRule="auto"/>
        <w:jc w:val="both"/>
        <w:rPr>
          <w:rFonts w:hint="eastAsia" w:eastAsia="黑体"/>
          <w:lang w:eastAsia="zh-CN"/>
        </w:rPr>
      </w:pPr>
      <w:r>
        <w:rPr>
          <w:spacing w:val="31"/>
        </w:rPr>
        <w:t>他味道，颜色洁</w:t>
      </w:r>
      <w:r>
        <w:rPr>
          <w:spacing w:val="18"/>
        </w:rPr>
        <w:t>白，颗粒晶莹剔透；口感咸鲜回甘</w:t>
      </w:r>
      <w:r>
        <w:rPr>
          <w:rFonts w:hint="eastAsia"/>
          <w:spacing w:val="18"/>
          <w:lang w:eastAsia="zh-CN"/>
        </w:rPr>
        <w:t>。</w:t>
      </w:r>
    </w:p>
    <w:p w14:paraId="1117B604">
      <w:pPr>
        <w:spacing w:line="2860" w:lineRule="exact"/>
        <w:ind w:firstLine="430"/>
      </w:pPr>
      <w:r>
        <w:rPr>
          <w:position w:val="-57"/>
        </w:rPr>
        <w:drawing>
          <wp:inline distT="0" distB="0" distL="0" distR="0">
            <wp:extent cx="3358515" cy="18161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59115" cy="181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A13C">
      <w:pPr>
        <w:pStyle w:val="2"/>
        <w:spacing w:before="138" w:line="221" w:lineRule="auto"/>
        <w:ind w:left="560"/>
      </w:pPr>
      <w:r>
        <w:rPr>
          <w:spacing w:val="11"/>
        </w:rPr>
        <w:t>方法三：看用途</w:t>
      </w:r>
    </w:p>
    <w:p w14:paraId="79547958">
      <w:pPr>
        <w:pStyle w:val="2"/>
        <w:spacing w:before="178" w:line="334" w:lineRule="auto"/>
        <w:ind w:right="4" w:firstLine="550"/>
      </w:pPr>
      <w:r>
        <w:rPr>
          <w:spacing w:val="18"/>
        </w:rPr>
        <w:t>居民家庭日常烹饪食用，尤其是有孕妇及婴幼</w:t>
      </w:r>
      <w:r>
        <w:rPr>
          <w:spacing w:val="13"/>
        </w:rPr>
        <w:t xml:space="preserve"> </w:t>
      </w:r>
      <w:r>
        <w:rPr>
          <w:spacing w:val="18"/>
        </w:rPr>
        <w:t>儿的家庭，请选购加碘食用盐，甲亢患者可在医师</w:t>
      </w:r>
      <w:r>
        <w:rPr>
          <w:spacing w:val="6"/>
        </w:rPr>
        <w:t xml:space="preserve"> </w:t>
      </w:r>
      <w:r>
        <w:rPr>
          <w:spacing w:val="18"/>
        </w:rPr>
        <w:t>指导下选购未加碘食用盐，高血压人群建议使用低</w:t>
      </w:r>
      <w:r>
        <w:rPr>
          <w:spacing w:val="2"/>
        </w:rPr>
        <w:t xml:space="preserve"> </w:t>
      </w:r>
      <w:r>
        <w:rPr>
          <w:spacing w:val="18"/>
        </w:rPr>
        <w:t>钠海盐替代普通食盐，可以减少钠的摄入，高钾血</w:t>
      </w:r>
      <w:r>
        <w:rPr>
          <w:spacing w:val="1"/>
        </w:rPr>
        <w:t xml:space="preserve"> </w:t>
      </w:r>
      <w:r>
        <w:rPr>
          <w:spacing w:val="12"/>
        </w:rPr>
        <w:t>症病患者不适宜食用低钠盐。</w:t>
      </w:r>
    </w:p>
    <w:p w14:paraId="1F8EC6CB">
      <w:pPr>
        <w:spacing w:line="2920" w:lineRule="exact"/>
        <w:ind w:firstLine="499"/>
      </w:pPr>
      <w:r>
        <w:rPr>
          <w:position w:val="-58"/>
        </w:rPr>
        <w:drawing>
          <wp:inline distT="0" distB="0" distL="0" distR="0">
            <wp:extent cx="3251200" cy="185420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51218" cy="185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AC422">
      <w:pPr>
        <w:spacing w:line="2920" w:lineRule="exact"/>
        <w:sectPr>
          <w:pgSz w:w="7940" w:h="11900"/>
          <w:pgMar w:top="400" w:right="920" w:bottom="400" w:left="889" w:header="0" w:footer="0" w:gutter="0"/>
          <w:cols w:space="720" w:num="1"/>
        </w:sectPr>
      </w:pPr>
    </w:p>
    <w:p w14:paraId="5FB5AC7B">
      <w:pPr>
        <w:spacing w:line="260" w:lineRule="auto"/>
        <w:rPr>
          <w:rFonts w:ascii="Arial"/>
          <w:sz w:val="21"/>
        </w:rPr>
      </w:pPr>
    </w:p>
    <w:p w14:paraId="39A49E78">
      <w:pPr>
        <w:spacing w:line="260" w:lineRule="auto"/>
        <w:rPr>
          <w:rFonts w:ascii="Arial"/>
          <w:sz w:val="21"/>
        </w:rPr>
      </w:pPr>
    </w:p>
    <w:p w14:paraId="05ADE6F9">
      <w:pPr>
        <w:pStyle w:val="2"/>
        <w:spacing w:before="85" w:line="221" w:lineRule="auto"/>
        <w:ind w:left="1439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-586105</wp:posOffset>
            </wp:positionV>
            <wp:extent cx="5041900" cy="755650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>方法四：看品牌</w:t>
      </w:r>
    </w:p>
    <w:p w14:paraId="55B3F887">
      <w:pPr>
        <w:pStyle w:val="2"/>
        <w:spacing w:before="199" w:line="346" w:lineRule="auto"/>
        <w:ind w:left="889" w:right="907" w:firstLine="550"/>
        <w:jc w:val="both"/>
      </w:pPr>
      <w:r>
        <w:rPr>
          <w:spacing w:val="34"/>
        </w:rPr>
        <w:t>购买时选择自己熟知的或者放心的食用盐品</w:t>
      </w:r>
      <w:r>
        <w:rPr>
          <w:spacing w:val="5"/>
        </w:rPr>
        <w:t xml:space="preserve"> </w:t>
      </w:r>
      <w:r>
        <w:rPr>
          <w:spacing w:val="19"/>
        </w:rPr>
        <w:t>牌。目前我省市场上的小包装盐还是大家熟</w:t>
      </w:r>
      <w:r>
        <w:rPr>
          <w:spacing w:val="18"/>
        </w:rPr>
        <w:t>知由福</w:t>
      </w:r>
      <w:r>
        <w:t xml:space="preserve"> </w:t>
      </w:r>
      <w:r>
        <w:rPr>
          <w:spacing w:val="18"/>
        </w:rPr>
        <w:t>盐集团生产的“闽盐”品牌产品为主，产品不含任</w:t>
      </w:r>
      <w:r>
        <w:rPr>
          <w:spacing w:val="17"/>
        </w:rPr>
        <w:t xml:space="preserve"> </w:t>
      </w:r>
      <w:r>
        <w:rPr>
          <w:spacing w:val="12"/>
        </w:rPr>
        <w:t>何抗结剂。</w:t>
      </w:r>
    </w:p>
    <w:p w14:paraId="3F87AAA1">
      <w:pPr>
        <w:spacing w:before="11" w:line="3160" w:lineRule="exact"/>
        <w:ind w:firstLine="1150"/>
      </w:pPr>
      <w:r>
        <w:rPr>
          <w:position w:val="-63"/>
        </w:rPr>
        <w:drawing>
          <wp:inline distT="0" distB="0" distL="0" distR="0">
            <wp:extent cx="3568065" cy="200596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68656" cy="200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01FF1">
      <w:pPr>
        <w:spacing w:line="3160" w:lineRule="exact"/>
        <w:sectPr>
          <w:pgSz w:w="7940" w:h="11900"/>
          <w:pgMar w:top="400" w:right="0" w:bottom="400" w:left="0" w:header="0" w:footer="0" w:gutter="0"/>
          <w:cols w:space="720" w:num="1"/>
        </w:sectPr>
      </w:pPr>
    </w:p>
    <w:p w14:paraId="455A4E7E">
      <w:pPr>
        <w:spacing w:before="3"/>
      </w:pPr>
    </w:p>
    <w:p w14:paraId="2EC5F696">
      <w:pPr>
        <w:spacing w:before="3"/>
      </w:pPr>
      <w:bookmarkStart w:id="0" w:name="_GoBack"/>
      <w:bookmarkEnd w:id="0"/>
    </w:p>
    <w:sectPr>
      <w:type w:val="continuous"/>
      <w:pgSz w:w="7940" w:h="11910"/>
      <w:pgMar w:top="400" w:right="953" w:bottom="400" w:left="910" w:header="0" w:footer="0" w:gutter="0"/>
      <w:cols w:equalWidth="0" w:num="3">
        <w:col w:w="2801" w:space="100"/>
        <w:col w:w="1830" w:space="100"/>
        <w:col w:w="124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2D5D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7FFA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0A221F"/>
    <w:rsid w:val="68CE66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40"/>
    <customShpInfo spid="_x0000_s1041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117</Words>
  <Characters>119</Characters>
  <TotalTime>7</TotalTime>
  <ScaleCrop>false</ScaleCrop>
  <LinksUpToDate>false</LinksUpToDate>
  <CharactersWithSpaces>129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2026-07-16T15:35:00Z</dcterms:created>
  <dc:creator>lenovo</dc:creator>
  <cp:lastModifiedBy>晓梅</cp:lastModifiedBy>
  <dcterms:modified xsi:type="dcterms:W3CDTF">2026-07-17T02:59:23Z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2026-07-16T15:35:21Z</vt:filetime>
  </property>
  <property fmtid="{D5CDD505-2E9C-101B-9397-08002B2CF9AE}" pid="4" name="UsrData">
    <vt:lpwstr>6a5889b2d51154001ff26907wl</vt:lpwstr>
  </property>
  <property fmtid="{D5CDD505-2E9C-101B-9397-08002B2CF9AE}" pid="5" name="KSOTemplateDocerSaveRecord">
    <vt:lpwstr>eyJoZGlkIjoiZmUwZjUyMzc1MzgzYTQxYjAyNzBmYjE2ZTJlZGUwNjkiLCJ1c2VySWQiOiI1NzM5OTkwODEifQ==</vt:lpwstr>
  </property>
  <property fmtid="{D5CDD505-2E9C-101B-9397-08002B2CF9AE}" pid="6" name="KSOProductBuildVer">
    <vt:lpwstr>2052-12.1.0.26895</vt:lpwstr>
  </property>
  <property fmtid="{D5CDD505-2E9C-101B-9397-08002B2CF9AE}" pid="7" name="ICV">
    <vt:lpwstr>9797C1CF894E47E2A934DAC5AF611D3E_13</vt:lpwstr>
  </property>
</Properties>
</file>