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1F9E85">
      <w:pPr>
        <w:jc w:val="center"/>
        <w:rPr>
          <w:rFonts w:ascii="宋体" w:hAnsi="宋体"/>
          <w:sz w:val="36"/>
          <w:szCs w:val="36"/>
        </w:rPr>
      </w:pPr>
    </w:p>
    <w:p w14:paraId="2190575C">
      <w:pPr>
        <w:jc w:val="center"/>
        <w:rPr>
          <w:rFonts w:ascii="宋体" w:hAnsi="宋体"/>
          <w:sz w:val="36"/>
          <w:szCs w:val="36"/>
        </w:rPr>
      </w:pPr>
    </w:p>
    <w:p w14:paraId="04B70E04">
      <w:pPr>
        <w:jc w:val="center"/>
        <w:rPr>
          <w:rFonts w:ascii="宋体" w:hAnsi="宋体"/>
          <w:sz w:val="36"/>
          <w:szCs w:val="36"/>
        </w:rPr>
      </w:pPr>
    </w:p>
    <w:p w14:paraId="1896B31C">
      <w:pPr>
        <w:jc w:val="both"/>
        <w:rPr>
          <w:rFonts w:ascii="宋体" w:hAnsi="宋体"/>
          <w:sz w:val="36"/>
          <w:szCs w:val="36"/>
        </w:rPr>
      </w:pPr>
    </w:p>
    <w:p w14:paraId="18E90A0F">
      <w:pPr>
        <w:rPr>
          <w:rFonts w:hint="eastAsia" w:ascii="方正小标宋简体" w:hAnsi="方正小标宋简体" w:eastAsia="方正小标宋简体" w:cs="方正小标宋简体"/>
          <w:sz w:val="44"/>
          <w:szCs w:val="44"/>
          <w:lang w:val="en-US" w:eastAsia="zh-CN"/>
        </w:rPr>
      </w:pPr>
    </w:p>
    <w:p w14:paraId="65C15AE5">
      <w:pPr>
        <w:pStyle w:val="8"/>
        <w:rPr>
          <w:rFonts w:hint="eastAsia" w:ascii="方正小标宋简体" w:hAnsi="方正小标宋简体" w:eastAsia="方正小标宋简体" w:cs="方正小标宋简体"/>
          <w:sz w:val="44"/>
          <w:szCs w:val="44"/>
          <w:lang w:val="en-US" w:eastAsia="zh-CN"/>
        </w:rPr>
      </w:pPr>
    </w:p>
    <w:p w14:paraId="3DF5EF94">
      <w:pPr>
        <w:pStyle w:val="8"/>
        <w:rPr>
          <w:rFonts w:hint="eastAsia" w:ascii="方正小标宋简体" w:hAnsi="方正小标宋简体" w:eastAsia="方正小标宋简体" w:cs="方正小标宋简体"/>
          <w:sz w:val="44"/>
          <w:szCs w:val="44"/>
          <w:lang w:val="en-US" w:eastAsia="zh-CN"/>
        </w:rPr>
      </w:pPr>
    </w:p>
    <w:p w14:paraId="55759425">
      <w:pPr>
        <w:spacing w:line="520" w:lineRule="exact"/>
        <w:jc w:val="center"/>
        <w:rPr>
          <w:rFonts w:hint="eastAsia" w:ascii="方正小标宋简体" w:hAnsi="方正小标宋简体" w:eastAsia="方正小标宋简体" w:cs="方正小标宋简体"/>
          <w:sz w:val="44"/>
          <w:szCs w:val="44"/>
          <w:lang w:val="en-US" w:eastAsia="zh-CN"/>
        </w:rPr>
      </w:pPr>
    </w:p>
    <w:p w14:paraId="756AA60C">
      <w:pPr>
        <w:snapToGrid w:val="0"/>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清流县文体和旅游局关于印发《清流县文化市场领域“首违不罚”事项清单（征求意见稿）》的通知</w:t>
      </w:r>
      <w:bookmarkStart w:id="2" w:name="_GoBack"/>
      <w:bookmarkEnd w:id="2"/>
    </w:p>
    <w:p w14:paraId="370D65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2095FF1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局各股室，清流县文化市场综合执法大队：</w:t>
      </w:r>
    </w:p>
    <w:p w14:paraId="7F7854C4">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上级部门优化营商环境相关政策要求，推进我县文化市场领域包容审慎监管，持续激发文旅市场主体内生动力，根据《中华人民共和国行政处罚法》等法律法规规章和有关规定，结合我县实际，现制定《清流县文体和旅游局“首违不罚”事项清单》，并就有关事项通知如下：</w:t>
      </w:r>
    </w:p>
    <w:p w14:paraId="4977629E">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一、本通知所称文化市场领域是指由我县文化市场综合执法队伍统一行使行政执法职责的文化、文物、 出版(版权)、广播电视、电影、旅游、体育等市场领域。</w:t>
      </w:r>
    </w:p>
    <w:p w14:paraId="5DAFDCDA">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二、本通知所称的“首违不罚”是指初次违法且危害后果轻微并及时改正的，可以不予行政处罚。</w:t>
      </w:r>
    </w:p>
    <w:p w14:paraId="03B8FC1A">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三、实施文化市场领域“首违不罚”，坚持包容审慎与严守底线相结合、处罚与教育相结合的原则。</w:t>
      </w:r>
    </w:p>
    <w:p w14:paraId="3A3AF6EB">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四、清流县文化市场领域“首违不罚”实行清单化管理。纳入《清流县文化市场领域“首违不罚”事项清单》的事项，可以适用“首违不罚”。</w:t>
      </w:r>
    </w:p>
    <w:p w14:paraId="219D50CD">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五、文化市场领域“首违不罚”应当同时具备以下三个条件：</w:t>
      </w:r>
    </w:p>
    <w:p w14:paraId="6742501A">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一）违法行为被视为初次违法</w:t>
      </w:r>
    </w:p>
    <w:p w14:paraId="3E3F2CF6">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国文化市场技术监管与服务平台、福建省一体化大融合行政执法平台中两年内无针对当事人同一行为的违法记录，且当事人确认初次违法；违法行为属于同一部法律法规规章规定的同一种违法行为，而不是不同法律法规规章规定的不同种类的违法行为。</w:t>
      </w:r>
    </w:p>
    <w:p w14:paraId="33A1F515">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二）危害后果轻微</w:t>
      </w:r>
    </w:p>
    <w:p w14:paraId="45A77674">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当事人违法行为对社会公共利益、社会生产生活秩序、行政管理秩序，以及对公民、法人和其他组织合法权益等方面的损害或者影响程度等因素综合判定。没有造成明显危害后果并及时消除，未造成明显社会影响的，属于危害后果轻微。及时消除包括相对人当场消除，或在执法机关限定的时间内消除。执法机关限定消除危害后果的时间，需综合考量降低、消除相关损害或者影响的时间、成本、可行性等因素判定。</w:t>
      </w:r>
    </w:p>
    <w:p w14:paraId="3063BFEC">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三）违法行为能够及时改正</w:t>
      </w:r>
    </w:p>
    <w:p w14:paraId="74F5FD98">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违法行为要具备整改条件。及时改正指相对人当场改正，或在执法机关限定期限内改正。违法行为及危害后果轻微、但不具备整改条件的，在当事人真心悔过的情况下，结合具体案情以当事人 “承诺守法依规”视为 “及时改正”。</w:t>
      </w:r>
    </w:p>
    <w:p w14:paraId="6F0966B1">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六、文化市场综合执法机构应当严格按照本办法的规定对相对人违法行为是否“危害后果轻微”进行认定，重点收集能够认定“危害后果轻微”事实的证据材料，规范实施“首违不罚”工作。</w:t>
      </w:r>
    </w:p>
    <w:p w14:paraId="7D7A84E0">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七、文化市场综合执法机构对查处的能够当场改正并消除危害后果的违法行为，应要求相对人立即改正并消除危害后果。相对人配合执法活动，立即改正并消除危害后果的，调查终结后，作出不予行政处罚决定。</w:t>
      </w:r>
    </w:p>
    <w:p w14:paraId="2BB67A43">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八、文化市场综合执法机构对查处的不能当场改正、或者危害后果不能当场消除的违法行为，应根据实际情况要求经营主体在限定时间内改正并消除危害后果，限定期间不超过 15 日，且在限定改正期限届满之日起 3 日内进行复查。相对人整改达到“及时改正”要求的，调查终结后，按照普通程序作出不予行政处罚决定；未达到改正要求的，应当依法查处。</w:t>
      </w:r>
    </w:p>
    <w:p w14:paraId="6678E40A">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九、相对人及时改正后，该违法行为再次被发现的，文化市场行政执法机关对再犯行为依法查处并依法作出行政处罚。</w:t>
      </w:r>
    </w:p>
    <w:p w14:paraId="60BBE4B3">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十、作出文化市场领域“首违不罚”决定时，应当对当事人进行法治宣传教育，督促提醒其依法依规从事经营活动。</w:t>
      </w:r>
    </w:p>
    <w:p w14:paraId="10E35BF9">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十一、实施文化市场领域“首违不罚”，应当将相关信息及时录入全国文化市场技术监管与服务平台、福建省一体化大融合行政执法平台，并做好立卷归档工作。</w:t>
      </w:r>
    </w:p>
    <w:p w14:paraId="6D2C2198">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十二、《清流县文体和旅游局“首违不罚”事项清单》公布之日起执行，施行期限一年。</w:t>
      </w:r>
    </w:p>
    <w:p w14:paraId="1A24B666">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p>
    <w:p w14:paraId="53435DBF">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附件：《清流县文体和旅游局“首违不罚”事项清单》　</w:t>
      </w:r>
    </w:p>
    <w:p w14:paraId="621EF5F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09FF167E">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清流县文体和旅游局</w:t>
      </w:r>
    </w:p>
    <w:p w14:paraId="1A353E34">
      <w:pPr>
        <w:keepNext w:val="0"/>
        <w:keepLines w:val="0"/>
        <w:pageBreakBefore w:val="0"/>
        <w:widowControl w:val="0"/>
        <w:kinsoku/>
        <w:wordWrap/>
        <w:overflowPunct/>
        <w:topLinePunct w:val="0"/>
        <w:autoSpaceDE/>
        <w:autoSpaceDN/>
        <w:bidi w:val="0"/>
        <w:adjustRightInd/>
        <w:snapToGrid/>
        <w:spacing w:line="560" w:lineRule="exact"/>
        <w:ind w:firstLine="640"/>
        <w:jc w:val="right"/>
        <w:textAlignment w:val="auto"/>
        <w:rPr>
          <w:rFonts w:hint="eastAsia" w:ascii="仿宋_GB2312" w:hAnsi="仿宋_GB2312" w:eastAsia="仿宋_GB2312" w:cs="仿宋_GB2312"/>
          <w:sz w:val="32"/>
          <w:szCs w:val="32"/>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仿宋_GB2312" w:hAnsi="仿宋_GB2312" w:eastAsia="仿宋_GB2312" w:cs="仿宋_GB2312"/>
          <w:sz w:val="32"/>
          <w:szCs w:val="32"/>
          <w:lang w:val="en-US" w:eastAsia="zh-CN"/>
        </w:rPr>
        <w:t>2026年  月  日</w:t>
      </w:r>
    </w:p>
    <w:p w14:paraId="20EFBDA6">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085D63FC">
      <w:pPr>
        <w:snapToGrid w:val="0"/>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《清流县文体和旅游局“首违不罚”事项清单》</w:t>
      </w:r>
    </w:p>
    <w:tbl>
      <w:tblPr>
        <w:tblStyle w:val="5"/>
        <w:tblW w:w="13069" w:type="dxa"/>
        <w:jc w:val="center"/>
        <w:tblLayout w:type="fixed"/>
        <w:tblCellMar>
          <w:top w:w="15" w:type="dxa"/>
          <w:left w:w="15" w:type="dxa"/>
          <w:bottom w:w="15" w:type="dxa"/>
          <w:right w:w="15" w:type="dxa"/>
        </w:tblCellMar>
      </w:tblPr>
      <w:tblGrid>
        <w:gridCol w:w="608"/>
        <w:gridCol w:w="1757"/>
        <w:gridCol w:w="2282"/>
        <w:gridCol w:w="8422"/>
      </w:tblGrid>
      <w:tr w14:paraId="73766E6F">
        <w:tblPrEx>
          <w:tblCellMar>
            <w:top w:w="15" w:type="dxa"/>
            <w:left w:w="15" w:type="dxa"/>
            <w:bottom w:w="15" w:type="dxa"/>
            <w:right w:w="15" w:type="dxa"/>
          </w:tblCellMar>
        </w:tblPrEx>
        <w:trPr>
          <w:cantSplit/>
          <w:trHeight w:val="486"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5F10C2B9">
            <w:pPr>
              <w:widowControl/>
              <w:spacing w:line="300" w:lineRule="exact"/>
              <w:jc w:val="center"/>
              <w:textAlignment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8"/>
                <w:szCs w:val="28"/>
              </w:rPr>
              <w:t>序号</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30137ABD">
            <w:pPr>
              <w:widowControl/>
              <w:spacing w:line="300" w:lineRule="exact"/>
              <w:jc w:val="center"/>
              <w:textAlignment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8"/>
                <w:szCs w:val="28"/>
              </w:rPr>
              <w:t>行政处罚事项</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44C7BC44">
            <w:pPr>
              <w:spacing w:line="300" w:lineRule="exact"/>
              <w:jc w:val="center"/>
              <w:textAlignment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8"/>
                <w:szCs w:val="28"/>
                <w:lang w:val="en-US" w:eastAsia="zh-CN"/>
              </w:rPr>
              <w:t>“首违不罚”</w:t>
            </w:r>
            <w:r>
              <w:rPr>
                <w:rFonts w:hint="eastAsia" w:asciiTheme="minorEastAsia" w:hAnsiTheme="minorEastAsia" w:eastAsiaTheme="minorEastAsia" w:cstheme="minorEastAsia"/>
                <w:color w:val="000000"/>
                <w:kern w:val="0"/>
                <w:sz w:val="28"/>
                <w:szCs w:val="28"/>
              </w:rPr>
              <w:t>适用条件</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2B471AFF">
            <w:pPr>
              <w:widowControl/>
              <w:spacing w:line="300" w:lineRule="exact"/>
              <w:jc w:val="center"/>
              <w:textAlignment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8"/>
                <w:szCs w:val="28"/>
              </w:rPr>
              <w:t>法律依据</w:t>
            </w:r>
          </w:p>
        </w:tc>
      </w:tr>
      <w:tr w14:paraId="4B38DDED">
        <w:tblPrEx>
          <w:tblCellMar>
            <w:top w:w="15" w:type="dxa"/>
            <w:left w:w="15" w:type="dxa"/>
            <w:bottom w:w="15" w:type="dxa"/>
            <w:right w:w="15" w:type="dxa"/>
          </w:tblCellMar>
        </w:tblPrEx>
        <w:trPr>
          <w:cantSplit/>
          <w:trHeight w:val="2802"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0FAC1A9E">
            <w:pPr>
              <w:spacing w:line="300" w:lineRule="exact"/>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0CCA44EA">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对互联网上网服务营业场所经营单位</w:t>
            </w:r>
            <w:r>
              <w:rPr>
                <w:rFonts w:hint="eastAsia" w:asciiTheme="minorEastAsia" w:hAnsiTheme="minorEastAsia" w:eastAsiaTheme="minorEastAsia" w:cstheme="minorEastAsia"/>
                <w:color w:val="000000"/>
                <w:sz w:val="24"/>
              </w:rPr>
              <w:t>未悬挂《网络文化经营许可证》或者未成年人禁入标志</w:t>
            </w:r>
            <w:r>
              <w:rPr>
                <w:rFonts w:hint="eastAsia" w:asciiTheme="minorEastAsia" w:hAnsiTheme="minorEastAsia" w:eastAsiaTheme="minorEastAsia" w:cstheme="minorEastAsia"/>
                <w:sz w:val="24"/>
              </w:rPr>
              <w:t>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20F8E816">
            <w:pP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满足以下三项条件之一：</w:t>
            </w:r>
          </w:p>
          <w:p w14:paraId="7F32CB0F">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1.违法行为轻微并及时改正，没有造成危害后果；</w:t>
            </w:r>
          </w:p>
          <w:p w14:paraId="2FF21B64">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2.</w:t>
            </w:r>
            <w:r>
              <w:rPr>
                <w:rFonts w:hint="eastAsia" w:asciiTheme="minorEastAsia" w:hAnsiTheme="minorEastAsia" w:eastAsiaTheme="minorEastAsia" w:cstheme="minorEastAsia"/>
                <w:sz w:val="24"/>
              </w:rPr>
              <w:t>初次违法且危害后果轻微并及时改正；</w:t>
            </w:r>
          </w:p>
          <w:p w14:paraId="56946872">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3.当事人有证据足以证明没有主观过错。</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24EEB590">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1.《中华人民共和国行政处罚法》</w:t>
            </w:r>
          </w:p>
          <w:p w14:paraId="09853C6F">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第三十三条　违法行为轻微并及时改正，没有造成危害后果的，不予行政处罚。初次违法且危害后果轻微并及时改正的，可以不予行政处罚。</w:t>
            </w:r>
          </w:p>
          <w:p w14:paraId="5B512C96">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当事人有证据足以证明没有主观过错的，不予行政处罚。法律、行政法规另有规定的，从其规定。</w:t>
            </w:r>
          </w:p>
          <w:p w14:paraId="46115302">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对当事人的违法行为依法不予行政处罚的，行政机关应当对当事人进行教育。</w:t>
            </w:r>
          </w:p>
          <w:p w14:paraId="025FC078">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2.《互联网上网服务营业场所管理条例》</w:t>
            </w:r>
          </w:p>
          <w:p w14:paraId="4CA5500E">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第三十一条第（五）项：互联网上网服务营业场所经营单位违反本条例的规定，有下列行为之一的，由文化行政部门给予警告，可以并处15000元以下的罚款；情节严重的，责令停业整顿，直至吊销《网络文化经营许可证》：（五）未悬挂《网络文化经营许可证》或者未成年人禁入标志的。</w:t>
            </w:r>
          </w:p>
        </w:tc>
      </w:tr>
      <w:tr w14:paraId="44ECA4B8">
        <w:tblPrEx>
          <w:tblCellMar>
            <w:top w:w="15" w:type="dxa"/>
            <w:left w:w="15" w:type="dxa"/>
            <w:bottom w:w="15" w:type="dxa"/>
            <w:right w:w="15" w:type="dxa"/>
          </w:tblCellMar>
        </w:tblPrEx>
        <w:trPr>
          <w:cantSplit/>
          <w:trHeight w:val="3367"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2EF1F87E">
            <w:pPr>
              <w:spacing w:line="300" w:lineRule="exact"/>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6089686D">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对娱乐场所未在显著位置悬挂娱乐经营许可证、未成年人禁入或者限入标志的行政处罚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3FBC8A4F">
            <w:pP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满足以下三项条件之一：</w:t>
            </w:r>
          </w:p>
          <w:p w14:paraId="6B0C8C7D">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1.违法行为轻微并及时改正，没有造成危害后果；</w:t>
            </w:r>
          </w:p>
          <w:p w14:paraId="01985475">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2.</w:t>
            </w:r>
            <w:r>
              <w:rPr>
                <w:rFonts w:hint="eastAsia" w:asciiTheme="minorEastAsia" w:hAnsiTheme="minorEastAsia" w:eastAsiaTheme="minorEastAsia" w:cstheme="minorEastAsia"/>
                <w:sz w:val="24"/>
              </w:rPr>
              <w:t>初次违法且危害后果轻微并及时改正；</w:t>
            </w:r>
          </w:p>
          <w:p w14:paraId="5CDBB75A">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3.当事人有证据足以证明没有主观过错。</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10DF3808">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1.《中华人民共和国行政处罚法》</w:t>
            </w:r>
          </w:p>
          <w:p w14:paraId="466E7AB5">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第三十三条　违法行为轻微并及时改正，没有造成危害后果的，不予行政处罚。初次违法且危害后果轻微并及时改正的，可以不予行政处罚。</w:t>
            </w:r>
          </w:p>
          <w:p w14:paraId="4F213461">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当事人有证据足以证明没有主观过错的，不予行政处罚。法律、行政法规另有规定的，从其规定。</w:t>
            </w:r>
          </w:p>
          <w:p w14:paraId="6AFCB71D">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对当事人的违法行为依法不予行政处罚的，行政机关应当对当事人进行教育。</w:t>
            </w:r>
          </w:p>
          <w:p w14:paraId="27E60F73">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2.《娱乐场所管理办法》</w:t>
            </w:r>
          </w:p>
          <w:p w14:paraId="1C0B9556">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第三十三条：娱乐场所违反本办法第二十四条规定的，由县级以上人民政府文化主管部门责令改正，予以警告。</w:t>
            </w:r>
          </w:p>
          <w:p w14:paraId="6F380C0C">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第二十四条：娱乐场所应当在显著位置悬挂娱乐经营许可证、</w:t>
            </w:r>
            <w:bookmarkStart w:id="0" w:name="OLE_LINK3"/>
            <w:bookmarkStart w:id="1" w:name="OLE_LINK2"/>
            <w:r>
              <w:rPr>
                <w:rFonts w:hint="eastAsia" w:asciiTheme="minorEastAsia" w:hAnsiTheme="minorEastAsia" w:eastAsiaTheme="minorEastAsia" w:cstheme="minorEastAsia"/>
                <w:color w:val="000000"/>
                <w:sz w:val="24"/>
              </w:rPr>
              <w:t>未成年人禁入或者限入标志</w:t>
            </w:r>
            <w:bookmarkEnd w:id="0"/>
            <w:bookmarkEnd w:id="1"/>
            <w:r>
              <w:rPr>
                <w:rFonts w:hint="eastAsia" w:asciiTheme="minorEastAsia" w:hAnsiTheme="minorEastAsia" w:eastAsiaTheme="minorEastAsia" w:cstheme="minorEastAsia"/>
                <w:color w:val="000000"/>
                <w:sz w:val="24"/>
              </w:rPr>
              <w:t>，标志应当注明举报电话。</w:t>
            </w:r>
          </w:p>
        </w:tc>
      </w:tr>
      <w:tr w14:paraId="63200C8F">
        <w:tblPrEx>
          <w:tblCellMar>
            <w:top w:w="15" w:type="dxa"/>
            <w:left w:w="15" w:type="dxa"/>
            <w:bottom w:w="15" w:type="dxa"/>
            <w:right w:w="15" w:type="dxa"/>
          </w:tblCellMar>
        </w:tblPrEx>
        <w:trPr>
          <w:cantSplit/>
          <w:trHeight w:val="2385"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1C5A80F2">
            <w:pPr>
              <w:spacing w:line="300" w:lineRule="exact"/>
              <w:jc w:val="center"/>
              <w:rPr>
                <w:rFonts w:hint="eastAsia" w:asciiTheme="minorEastAsia" w:hAnsiTheme="minorEastAsia" w:eastAsiaTheme="minorEastAsia" w:cstheme="minorEastAsia"/>
                <w:color w:val="000000"/>
                <w:sz w:val="24"/>
                <w:lang w:eastAsia="zh-CN"/>
              </w:rPr>
            </w:pPr>
            <w:r>
              <w:rPr>
                <w:rFonts w:hint="eastAsia" w:asciiTheme="minorEastAsia" w:hAnsiTheme="minorEastAsia" w:cstheme="minorEastAsia"/>
                <w:color w:val="000000"/>
                <w:sz w:val="24"/>
                <w:lang w:val="en-US" w:eastAsia="zh-CN"/>
              </w:rPr>
              <w:t>3</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1C23C3D8">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对互联网上网服务营业场所经营单位经营非网络游戏的</w:t>
            </w:r>
            <w:r>
              <w:rPr>
                <w:rFonts w:hint="eastAsia" w:asciiTheme="minorEastAsia" w:hAnsiTheme="minorEastAsia" w:eastAsiaTheme="minorEastAsia" w:cstheme="minorEastAsia"/>
                <w:spacing w:val="8"/>
                <w:sz w:val="24"/>
                <w:shd w:val="clear" w:color="auto" w:fill="FFFFFF"/>
              </w:rPr>
              <w:t>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161CA4D1">
            <w:pP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满足以下三项条件之一：</w:t>
            </w:r>
          </w:p>
          <w:p w14:paraId="63852B0C">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1.违法行为轻微并及时改正，没有造成危害后果；</w:t>
            </w:r>
          </w:p>
          <w:p w14:paraId="7C915088">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2.</w:t>
            </w:r>
            <w:r>
              <w:rPr>
                <w:rFonts w:hint="eastAsia" w:asciiTheme="minorEastAsia" w:hAnsiTheme="minorEastAsia" w:eastAsiaTheme="minorEastAsia" w:cstheme="minorEastAsia"/>
                <w:sz w:val="24"/>
              </w:rPr>
              <w:t>初次违法且危害后果轻微并及时改正；</w:t>
            </w:r>
          </w:p>
          <w:p w14:paraId="63C808F3">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3.当事人有证据足以证明没有主观过错。</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634092F7">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1.《中华人民共和国行政处罚法》</w:t>
            </w:r>
          </w:p>
          <w:p w14:paraId="08560CE6">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第三十三条　违法行为轻微并及时改正，没有造成危害后果的，不予行政处罚。初次违法且危害后果轻微并及时改正的，可以不予行政处罚。</w:t>
            </w:r>
          </w:p>
          <w:p w14:paraId="38EA6884">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当事人有证据足以证明没有主观过错的，不予行政处罚。法律、行政法规另有规定的，从其规定。</w:t>
            </w:r>
          </w:p>
          <w:p w14:paraId="1B734A96">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对当事人的违法行为依法不予行政处罚的，行政机关应当对当事人进行教育。</w:t>
            </w:r>
          </w:p>
          <w:p w14:paraId="191E7DF8">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2.《互联网上网服务营业场所管理条例》</w:t>
            </w:r>
          </w:p>
          <w:p w14:paraId="34CA2AA8">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第三十一条第（三）项：互联网上网服务营业场所经营单位违反本条例的规定，有下列行为之一的，由文化行政部门给予警告，可以并处15000元以下的罚款；情节严重的，责令停业整顿，直至吊销《网络文化经营许可证》：（三）经营非网络游戏的。</w:t>
            </w:r>
          </w:p>
        </w:tc>
      </w:tr>
      <w:tr w14:paraId="42118C5E">
        <w:tblPrEx>
          <w:tblCellMar>
            <w:top w:w="15" w:type="dxa"/>
            <w:left w:w="15" w:type="dxa"/>
            <w:bottom w:w="15" w:type="dxa"/>
            <w:right w:w="15" w:type="dxa"/>
          </w:tblCellMar>
        </w:tblPrEx>
        <w:trPr>
          <w:cantSplit/>
          <w:trHeight w:val="2826"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69D0CA63">
            <w:pPr>
              <w:spacing w:line="300" w:lineRule="exact"/>
              <w:jc w:val="center"/>
              <w:rPr>
                <w:rFonts w:hint="eastAsia" w:asciiTheme="minorEastAsia" w:hAnsiTheme="minorEastAsia" w:eastAsiaTheme="minorEastAsia" w:cstheme="minorEastAsia"/>
                <w:color w:val="000000"/>
                <w:sz w:val="24"/>
                <w:lang w:eastAsia="zh-CN"/>
              </w:rPr>
            </w:pPr>
            <w:r>
              <w:rPr>
                <w:rFonts w:hint="eastAsia" w:asciiTheme="minorEastAsia" w:hAnsiTheme="minorEastAsia" w:cstheme="minorEastAsia"/>
                <w:color w:val="000000"/>
                <w:sz w:val="24"/>
                <w:lang w:val="en-US" w:eastAsia="zh-CN"/>
              </w:rPr>
              <w:t>4</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6DEE1FC1">
            <w:pPr>
              <w:pStyle w:val="9"/>
              <w:shd w:val="clear" w:color="auto" w:fill="FFFFFF"/>
              <w:spacing w:before="0" w:beforeAutospacing="0" w:after="0" w:afterAutospacing="0" w:line="32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对设立从事艺术品经营活动的经营单位或者其他经营单位增设艺术品经营业务，未依法到文化行政部门备案的行政处罚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6457F2DB">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根据《福建省人民政府办公厅转发省工商局等部门关于加快推进“多证合一”改革实施意见的通知》（闽政办〔2017〕103号）该事项已实行“多证合一”改革，无需另行备案。</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102C444D">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1.《艺术品经营管理办法》</w:t>
            </w:r>
          </w:p>
          <w:p w14:paraId="6ACC4F15">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第十九条：违反本办法第五条规定的，由县级以上人民政府文化行政部门或者依法授权的文化市场综合执法机构责令改正，并可根据情节轻重处10000元以下罚款。</w:t>
            </w:r>
          </w:p>
          <w:p w14:paraId="2847A9DB">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第五条：设立从事艺术品经营活动的经营单位，应当到其住所地县级以上人民政府工商行政管理部门申领营业执照，并在领取营业执照之日起15日内，到其住所地县级以上人民政府文化行政部门备案。</w:t>
            </w:r>
          </w:p>
          <w:p w14:paraId="28E74AF0">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其他经营单位增设艺术品经营业务的，应当按前款办理备案手续。</w:t>
            </w:r>
          </w:p>
        </w:tc>
      </w:tr>
      <w:tr w14:paraId="2129E799">
        <w:tblPrEx>
          <w:tblCellMar>
            <w:top w:w="15" w:type="dxa"/>
            <w:left w:w="15" w:type="dxa"/>
            <w:bottom w:w="15" w:type="dxa"/>
            <w:right w:w="15" w:type="dxa"/>
          </w:tblCellMar>
        </w:tblPrEx>
        <w:trPr>
          <w:cantSplit/>
          <w:trHeight w:val="2598"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2967C0E3">
            <w:pPr>
              <w:spacing w:line="300" w:lineRule="exact"/>
              <w:jc w:val="center"/>
              <w:rPr>
                <w:rFonts w:hint="eastAsia" w:asciiTheme="minorEastAsia" w:hAnsiTheme="minorEastAsia" w:eastAsiaTheme="minorEastAsia" w:cstheme="minorEastAsia"/>
                <w:color w:val="000000"/>
                <w:sz w:val="24"/>
                <w:lang w:eastAsia="zh-CN"/>
              </w:rPr>
            </w:pPr>
            <w:r>
              <w:rPr>
                <w:rFonts w:hint="eastAsia" w:asciiTheme="minorEastAsia" w:hAnsiTheme="minorEastAsia" w:cstheme="minorEastAsia"/>
                <w:color w:val="000000"/>
                <w:sz w:val="24"/>
                <w:lang w:val="en-US" w:eastAsia="zh-CN"/>
              </w:rPr>
              <w:t>5</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4B8AD537">
            <w:pPr>
              <w:pStyle w:val="9"/>
              <w:shd w:val="clear" w:color="auto" w:fill="FFFFFF"/>
              <w:rPr>
                <w:rFonts w:hint="eastAsia" w:asciiTheme="minorEastAsia" w:hAnsiTheme="minorEastAsia" w:eastAsiaTheme="minorEastAsia" w:cstheme="minorEastAsia"/>
              </w:rPr>
            </w:pPr>
            <w:r>
              <w:rPr>
                <w:rFonts w:hint="eastAsia" w:asciiTheme="minorEastAsia" w:hAnsiTheme="minorEastAsia" w:eastAsiaTheme="minorEastAsia" w:cstheme="minorEastAsia"/>
              </w:rPr>
              <w:t>对旅行社设立分社未按期向分社所在地旅游行政管理部门备案的行政处罚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0FD724BF">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根据《福建省人民政府办公厅转发省工商局等部门关于加快推进“多证合一”改革实施意见的通知》（闽政办〔2017〕103号）该事项已实行“多证合一”改革，无需另行备案。</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2F98F925">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旅行社条例》第五十条：违反本条例的规定，旅行社有下列情形之一的，由旅游行政管理部门责令改正；拒不改正的，处1万元以下的罚款：（二）设立分社未在规定期限内向分社所在地旅游行政管理部门备案的。</w:t>
            </w:r>
          </w:p>
        </w:tc>
      </w:tr>
      <w:tr w14:paraId="261750A1">
        <w:tblPrEx>
          <w:tblCellMar>
            <w:top w:w="15" w:type="dxa"/>
            <w:left w:w="15" w:type="dxa"/>
            <w:bottom w:w="15" w:type="dxa"/>
            <w:right w:w="15" w:type="dxa"/>
          </w:tblCellMar>
        </w:tblPrEx>
        <w:trPr>
          <w:cantSplit/>
          <w:trHeight w:val="2810"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61C6B47E">
            <w:pPr>
              <w:spacing w:line="300" w:lineRule="exact"/>
              <w:jc w:val="center"/>
              <w:rPr>
                <w:rFonts w:hint="eastAsia" w:asciiTheme="minorEastAsia" w:hAnsiTheme="minorEastAsia" w:eastAsiaTheme="minorEastAsia" w:cstheme="minorEastAsia"/>
                <w:color w:val="000000"/>
                <w:sz w:val="24"/>
                <w:lang w:eastAsia="zh-CN"/>
              </w:rPr>
            </w:pPr>
            <w:r>
              <w:rPr>
                <w:rFonts w:hint="eastAsia" w:asciiTheme="minorEastAsia" w:hAnsiTheme="minorEastAsia" w:cstheme="minorEastAsia"/>
                <w:color w:val="000000"/>
                <w:sz w:val="24"/>
                <w:lang w:val="en-US" w:eastAsia="zh-CN"/>
              </w:rPr>
              <w:t>6</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79501B1D">
            <w:pPr>
              <w:pStyle w:val="9"/>
              <w:shd w:val="clear" w:color="auto" w:fill="FFFFFF"/>
              <w:rPr>
                <w:rFonts w:hint="eastAsia" w:asciiTheme="minorEastAsia" w:hAnsiTheme="minorEastAsia" w:eastAsiaTheme="minorEastAsia" w:cstheme="minorEastAsia"/>
              </w:rPr>
            </w:pPr>
            <w:r>
              <w:rPr>
                <w:rFonts w:hint="eastAsia" w:asciiTheme="minorEastAsia" w:hAnsiTheme="minorEastAsia" w:eastAsiaTheme="minorEastAsia" w:cstheme="minorEastAsia"/>
              </w:rPr>
              <w:t>对旅行社设立服务网点未在规定期限内备案的行政处罚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18CC5E18">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根据《福建省人民政府办公厅转发省工商局等部门关于加快推进“多证合一”改革实施意见的通知》（闽政办〔2017〕103号）该事项已实行“多证合一”改革，无需另行备案。</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3B0672AD">
            <w:pPr>
              <w:spacing w:line="300" w:lineRule="exact"/>
              <w:rPr>
                <w:rFonts w:hint="eastAsia" w:asciiTheme="minorEastAsia" w:hAnsiTheme="minorEastAsia" w:eastAsiaTheme="minorEastAsia" w:cstheme="minorEastAsia"/>
                <w:color w:val="000000"/>
                <w:spacing w:val="-6"/>
                <w:sz w:val="24"/>
              </w:rPr>
            </w:pPr>
            <w:r>
              <w:rPr>
                <w:rFonts w:hint="eastAsia" w:asciiTheme="minorEastAsia" w:hAnsiTheme="minorEastAsia" w:eastAsiaTheme="minorEastAsia" w:cstheme="minorEastAsia"/>
                <w:color w:val="000000"/>
                <w:spacing w:val="-6"/>
                <w:sz w:val="24"/>
              </w:rPr>
              <w:t>《旅行社条例实施细则》</w:t>
            </w:r>
          </w:p>
          <w:p w14:paraId="7674E9B7">
            <w:pPr>
              <w:spacing w:line="300" w:lineRule="exact"/>
              <w:rPr>
                <w:rFonts w:hint="eastAsia" w:asciiTheme="minorEastAsia" w:hAnsiTheme="minorEastAsia" w:eastAsiaTheme="minorEastAsia" w:cstheme="minorEastAsia"/>
                <w:color w:val="000000"/>
                <w:spacing w:val="-6"/>
                <w:sz w:val="24"/>
              </w:rPr>
            </w:pPr>
            <w:r>
              <w:rPr>
                <w:rFonts w:hint="eastAsia" w:asciiTheme="minorEastAsia" w:hAnsiTheme="minorEastAsia" w:eastAsiaTheme="minorEastAsia" w:cstheme="minorEastAsia"/>
                <w:color w:val="000000"/>
                <w:spacing w:val="-6"/>
                <w:sz w:val="24"/>
              </w:rPr>
              <w:t>第五十七条：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w:t>
            </w:r>
          </w:p>
          <w:p w14:paraId="41FC9CB9">
            <w:pPr>
              <w:spacing w:line="300" w:lineRule="exact"/>
              <w:rPr>
                <w:rFonts w:hint="eastAsia" w:asciiTheme="minorEastAsia" w:hAnsiTheme="minorEastAsia" w:eastAsiaTheme="minorEastAsia" w:cstheme="minorEastAsia"/>
                <w:color w:val="000000"/>
                <w:spacing w:val="-6"/>
                <w:sz w:val="24"/>
              </w:rPr>
            </w:pPr>
            <w:r>
              <w:rPr>
                <w:rFonts w:hint="eastAsia" w:asciiTheme="minorEastAsia" w:hAnsiTheme="minorEastAsia" w:eastAsiaTheme="minorEastAsia" w:cstheme="minorEastAsia"/>
                <w:color w:val="000000"/>
                <w:spacing w:val="-6"/>
                <w:sz w:val="24"/>
              </w:rPr>
              <w:t>第二十三条：设立社向服务网点所在地工商行政管理部门办理服务网点设立登记后，应当在3个工作日内，持下列文件向服务网点所在地与工商登记同级的旅游行政管理部门备案：（一）服务网点的《营业执照》；（二）服务网点经理的履历表和身份证明。</w:t>
            </w:r>
          </w:p>
          <w:p w14:paraId="476060CD">
            <w:pPr>
              <w:spacing w:line="30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pacing w:val="-6"/>
                <w:sz w:val="24"/>
              </w:rPr>
              <w:t>没有同级的旅游行政管理部门的，向上一级旅游行政管理部门备案。</w:t>
            </w:r>
          </w:p>
        </w:tc>
      </w:tr>
      <w:tr w14:paraId="6E94E6CC">
        <w:tblPrEx>
          <w:tblCellMar>
            <w:top w:w="15" w:type="dxa"/>
            <w:left w:w="15" w:type="dxa"/>
            <w:bottom w:w="15" w:type="dxa"/>
            <w:right w:w="15" w:type="dxa"/>
          </w:tblCellMar>
        </w:tblPrEx>
        <w:trPr>
          <w:cantSplit/>
          <w:trHeight w:val="3947"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25BD2DF5">
            <w:pPr>
              <w:spacing w:line="300" w:lineRule="exact"/>
              <w:jc w:val="center"/>
              <w:rPr>
                <w:rFonts w:hint="eastAsia" w:asciiTheme="minorEastAsia" w:hAnsiTheme="minorEastAsia" w:eastAsiaTheme="minorEastAsia" w:cstheme="minorEastAsia"/>
                <w:color w:val="000000"/>
                <w:sz w:val="24"/>
                <w:lang w:eastAsia="zh-CN"/>
              </w:rPr>
            </w:pPr>
            <w:r>
              <w:rPr>
                <w:rFonts w:hint="eastAsia" w:asciiTheme="minorEastAsia" w:hAnsiTheme="minorEastAsia" w:cstheme="minorEastAsia"/>
                <w:color w:val="000000"/>
                <w:sz w:val="24"/>
                <w:lang w:val="en-US" w:eastAsia="zh-CN"/>
              </w:rPr>
              <w:t>7</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30AE104B">
            <w:pPr>
              <w:pStyle w:val="9"/>
              <w:shd w:val="clear" w:color="auto" w:fill="FFFFFF"/>
              <w:rPr>
                <w:rFonts w:hint="eastAsia" w:asciiTheme="minorEastAsia" w:hAnsiTheme="minorEastAsia" w:eastAsiaTheme="minorEastAsia" w:cstheme="minorEastAsia"/>
              </w:rPr>
            </w:pPr>
            <w:r>
              <w:rPr>
                <w:rFonts w:hint="eastAsia" w:asciiTheme="minorEastAsia" w:hAnsiTheme="minorEastAsia" w:eastAsiaTheme="minorEastAsia" w:cstheme="minorEastAsia"/>
              </w:rPr>
              <w:t>对旅行社及其分社、服务网点未悬挂旅行社业务经营许可证、备案登记证明的行政处罚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0A40B46C">
            <w:pP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满足以下三项条件之一：</w:t>
            </w:r>
          </w:p>
          <w:p w14:paraId="69527C21">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1.违法行为轻微并及时改正，没有造成危害后果；</w:t>
            </w:r>
          </w:p>
          <w:p w14:paraId="6BD03019">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2.</w:t>
            </w:r>
            <w:r>
              <w:rPr>
                <w:rFonts w:hint="eastAsia" w:asciiTheme="minorEastAsia" w:hAnsiTheme="minorEastAsia" w:eastAsiaTheme="minorEastAsia" w:cstheme="minorEastAsia"/>
                <w:sz w:val="24"/>
              </w:rPr>
              <w:t>初次违法且危害后果轻微并及时改正；</w:t>
            </w:r>
          </w:p>
          <w:p w14:paraId="463B72B4">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3.当事人有证据足以证明没有主观过错。</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0C22A105">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1.《中华人民共和国行政处罚法》</w:t>
            </w:r>
          </w:p>
          <w:p w14:paraId="50150689">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第三十三条　违法行为轻微并及时改正，没有造成危害后果的，不予行政处罚。初次违法且危害后果轻微并及时改正的，可以不予行政处罚。</w:t>
            </w:r>
          </w:p>
          <w:p w14:paraId="67E8C683">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当事人有证据足以证明没有主观过错的，不予行政处罚。法律、行政法规另有规定的，从其规定。</w:t>
            </w:r>
          </w:p>
          <w:p w14:paraId="7D422C26">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对当事人的违法行为依法不予行政处罚的，行政机关应当对当事人进行教育。</w:t>
            </w:r>
          </w:p>
          <w:p w14:paraId="1D7D6E9D">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 xml:space="preserve">2.《旅行社条例实施细则》第五十七条：违反本实施细则第十二条第三款、第二十三条、第二十六条的规定，擅自引进外商投资、设立服务网点未在规定期限内备案，或者旅行社及其分社、服务网点未悬挂旅行社业务经营许可证、备案登记证明的，由县级以上旅游行政管理部门责令改正，可以处1万元以下的罚款。  </w:t>
            </w:r>
          </w:p>
          <w:p w14:paraId="5F279028">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第二十六条：旅行社及其分社、服务网点，应当将《旅行社业务经营许可证》、《旅行社分社备案登记证明》或者《旅行社服务网点备案登记证明》，与营业执照一起，悬挂在经营场所的显要位置。</w:t>
            </w:r>
          </w:p>
        </w:tc>
      </w:tr>
      <w:tr w14:paraId="0A19C088">
        <w:tblPrEx>
          <w:tblCellMar>
            <w:top w:w="15" w:type="dxa"/>
            <w:left w:w="15" w:type="dxa"/>
            <w:bottom w:w="15" w:type="dxa"/>
            <w:right w:w="15" w:type="dxa"/>
          </w:tblCellMar>
        </w:tblPrEx>
        <w:trPr>
          <w:cantSplit/>
          <w:trHeight w:val="4089"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6A985344">
            <w:pPr>
              <w:spacing w:line="300" w:lineRule="exact"/>
              <w:jc w:val="center"/>
              <w:rPr>
                <w:rFonts w:hint="eastAsia" w:asciiTheme="minorEastAsia" w:hAnsiTheme="minorEastAsia" w:eastAsiaTheme="minorEastAsia" w:cstheme="minorEastAsia"/>
                <w:color w:val="000000"/>
                <w:sz w:val="24"/>
                <w:lang w:eastAsia="zh-CN"/>
              </w:rPr>
            </w:pPr>
            <w:r>
              <w:rPr>
                <w:rFonts w:hint="eastAsia" w:asciiTheme="minorEastAsia" w:hAnsiTheme="minorEastAsia" w:cstheme="minorEastAsia"/>
                <w:color w:val="000000"/>
                <w:sz w:val="24"/>
                <w:lang w:val="en-US" w:eastAsia="zh-CN"/>
              </w:rPr>
              <w:t>8</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5CC93746">
            <w:pPr>
              <w:pStyle w:val="9"/>
              <w:shd w:val="clear" w:color="auto" w:fill="FFFFFF"/>
              <w:rPr>
                <w:rFonts w:hint="eastAsia" w:asciiTheme="minorEastAsia" w:hAnsiTheme="minorEastAsia" w:eastAsiaTheme="minorEastAsia" w:cstheme="minorEastAsia"/>
              </w:rPr>
            </w:pPr>
            <w:r>
              <w:rPr>
                <w:rFonts w:hint="eastAsia" w:asciiTheme="minorEastAsia" w:hAnsiTheme="minorEastAsia" w:eastAsiaTheme="minorEastAsia" w:cstheme="minorEastAsia"/>
              </w:rPr>
              <w:t>对导游人员进行导游活动时未佩戴导游证的行政处罚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2D5C8D67">
            <w:pP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满足以下三项条件之一：</w:t>
            </w:r>
          </w:p>
          <w:p w14:paraId="64D0AD22">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1.违法行为轻微并及时改正，没有造成危害后果；</w:t>
            </w:r>
          </w:p>
          <w:p w14:paraId="75ED9658">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2.</w:t>
            </w:r>
            <w:r>
              <w:rPr>
                <w:rFonts w:hint="eastAsia" w:asciiTheme="minorEastAsia" w:hAnsiTheme="minorEastAsia" w:eastAsiaTheme="minorEastAsia" w:cstheme="minorEastAsia"/>
                <w:sz w:val="24"/>
              </w:rPr>
              <w:t>初次违法且危害后果轻微并及时改正；</w:t>
            </w:r>
          </w:p>
          <w:p w14:paraId="6CA9789A">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3.当事人有证据足以证明没有主观过错。</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4596F63B">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1.《中华人民共和国行政处罚法》</w:t>
            </w:r>
          </w:p>
          <w:p w14:paraId="4CE98562">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第三十三条　违法行为轻微并及时改正，没有造成危害后果的，不予行政处罚。初次违法且危害后果轻微并及时改正的，可以不予行政处罚。</w:t>
            </w:r>
          </w:p>
          <w:p w14:paraId="021D246D">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当事人有证据足以证明没有主观过错的，不予行政处罚。法律、行政法规另有规定的，从其规定。</w:t>
            </w:r>
          </w:p>
          <w:p w14:paraId="335FB6EB">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对当事人的违法行为依法不予行政处罚的，行政机关应当对当事人进行教育。</w:t>
            </w:r>
          </w:p>
          <w:p w14:paraId="3E06660B">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2.《导游管理办法》</w:t>
            </w:r>
          </w:p>
          <w:p w14:paraId="71D1C000">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 xml:space="preserve">第三十二条第一款第（二）项：导游违反本办法有关规定的，依照下列规定处理：（二）违反本办法第二十条第一款规定的，依据《导游人员管理条例》第二十一条的规定处罚。 </w:t>
            </w:r>
          </w:p>
          <w:p w14:paraId="251D52B3">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 xml:space="preserve">第二十条第一款：导游在执业过程中应当携带电子导游证、佩戴导游身份标识，并开启导游执业相关应用软件。 </w:t>
            </w:r>
          </w:p>
          <w:p w14:paraId="151C2B31">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 xml:space="preserve">《导游人员管理条例》 </w:t>
            </w:r>
          </w:p>
          <w:p w14:paraId="36D350BE">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pacing w:val="-6"/>
                <w:sz w:val="24"/>
              </w:rPr>
              <w:t>第二十一条：导游人员进行导游活动时未佩戴导游证的，由旅游行政部门责令改正；拒不改正的，处500元以下的罚款。</w:t>
            </w:r>
          </w:p>
        </w:tc>
      </w:tr>
      <w:tr w14:paraId="1090962A">
        <w:tblPrEx>
          <w:tblCellMar>
            <w:top w:w="15" w:type="dxa"/>
            <w:left w:w="15" w:type="dxa"/>
            <w:bottom w:w="15" w:type="dxa"/>
            <w:right w:w="15" w:type="dxa"/>
          </w:tblCellMar>
        </w:tblPrEx>
        <w:trPr>
          <w:cantSplit/>
          <w:trHeight w:val="3084" w:hRule="atLeast"/>
          <w:jc w:val="center"/>
        </w:trPr>
        <w:tc>
          <w:tcPr>
            <w:tcW w:w="608" w:type="dxa"/>
            <w:tcBorders>
              <w:top w:val="single" w:color="000000" w:sz="4" w:space="0"/>
              <w:left w:val="single" w:color="000000" w:sz="12" w:space="0"/>
              <w:bottom w:val="single" w:color="000000" w:sz="4" w:space="0"/>
              <w:right w:val="single" w:color="000000" w:sz="4" w:space="0"/>
            </w:tcBorders>
            <w:noWrap w:val="0"/>
            <w:vAlign w:val="center"/>
          </w:tcPr>
          <w:p w14:paraId="6FA19A44">
            <w:pPr>
              <w:spacing w:line="300" w:lineRule="exact"/>
              <w:jc w:val="center"/>
              <w:rPr>
                <w:rFonts w:hint="eastAsia" w:asciiTheme="minorEastAsia" w:hAnsiTheme="minorEastAsia" w:eastAsiaTheme="minorEastAsia" w:cstheme="minorEastAsia"/>
                <w:color w:val="000000"/>
                <w:sz w:val="24"/>
                <w:lang w:eastAsia="zh-CN"/>
              </w:rPr>
            </w:pPr>
            <w:r>
              <w:rPr>
                <w:rFonts w:hint="eastAsia" w:asciiTheme="minorEastAsia" w:hAnsiTheme="minorEastAsia" w:cstheme="minorEastAsia"/>
                <w:color w:val="000000"/>
                <w:sz w:val="24"/>
                <w:lang w:val="en-US" w:eastAsia="zh-CN"/>
              </w:rPr>
              <w:t>9</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5EA4271A">
            <w:pPr>
              <w:pStyle w:val="9"/>
              <w:shd w:val="clear" w:color="auto" w:fill="FFFFFF"/>
              <w:rPr>
                <w:rFonts w:hint="eastAsia" w:asciiTheme="minorEastAsia" w:hAnsiTheme="minorEastAsia" w:eastAsiaTheme="minorEastAsia" w:cstheme="minorEastAsia"/>
              </w:rPr>
            </w:pPr>
            <w:r>
              <w:rPr>
                <w:rStyle w:val="7"/>
                <w:rFonts w:hint="eastAsia" w:asciiTheme="minorEastAsia" w:hAnsiTheme="minorEastAsia" w:eastAsiaTheme="minorEastAsia" w:cstheme="minorEastAsia"/>
                <w:b w:val="0"/>
              </w:rPr>
              <w:t>对未按规定参加旅游主管部门组织的培训的行为的行政处罚</w:t>
            </w:r>
          </w:p>
        </w:tc>
        <w:tc>
          <w:tcPr>
            <w:tcW w:w="2282" w:type="dxa"/>
            <w:tcBorders>
              <w:top w:val="single" w:color="000000" w:sz="4" w:space="0"/>
              <w:left w:val="single" w:color="auto" w:sz="4" w:space="0"/>
              <w:bottom w:val="single" w:color="000000" w:sz="4" w:space="0"/>
              <w:right w:val="single" w:color="000000" w:sz="4" w:space="0"/>
            </w:tcBorders>
            <w:noWrap w:val="0"/>
            <w:vAlign w:val="center"/>
          </w:tcPr>
          <w:p w14:paraId="5EF51F97">
            <w:pPr>
              <w:rPr>
                <w:rFonts w:hint="eastAsia" w:asciiTheme="minorEastAsia" w:hAnsiTheme="minorEastAsia" w:eastAsiaTheme="minorEastAsia" w:cstheme="minorEastAsia"/>
                <w:b/>
                <w:bCs/>
                <w:color w:val="000000"/>
                <w:sz w:val="24"/>
              </w:rPr>
            </w:pPr>
            <w:r>
              <w:rPr>
                <w:rFonts w:hint="eastAsia" w:asciiTheme="minorEastAsia" w:hAnsiTheme="minorEastAsia" w:eastAsiaTheme="minorEastAsia" w:cstheme="minorEastAsia"/>
                <w:b/>
                <w:bCs/>
                <w:color w:val="000000"/>
                <w:sz w:val="24"/>
              </w:rPr>
              <w:t>满足以下三项条件之一：</w:t>
            </w:r>
          </w:p>
          <w:p w14:paraId="456369FD">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1.违法行为轻微并及时改正，没有造成危害后果；</w:t>
            </w:r>
          </w:p>
          <w:p w14:paraId="107EB876">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000000"/>
                <w:sz w:val="24"/>
              </w:rPr>
              <w:t>2.</w:t>
            </w:r>
            <w:r>
              <w:rPr>
                <w:rFonts w:hint="eastAsia" w:asciiTheme="minorEastAsia" w:hAnsiTheme="minorEastAsia" w:eastAsiaTheme="minorEastAsia" w:cstheme="minorEastAsia"/>
                <w:sz w:val="24"/>
              </w:rPr>
              <w:t>初次违法且危害后果轻微并及时改正；</w:t>
            </w:r>
          </w:p>
          <w:p w14:paraId="628DF85D">
            <w:pPr>
              <w:spacing w:line="300" w:lineRule="exact"/>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sz w:val="24"/>
              </w:rPr>
              <w:t>3.当事人有证据足以证明没有主观过错。</w:t>
            </w:r>
          </w:p>
        </w:tc>
        <w:tc>
          <w:tcPr>
            <w:tcW w:w="8422" w:type="dxa"/>
            <w:tcBorders>
              <w:top w:val="single" w:color="000000" w:sz="4" w:space="0"/>
              <w:left w:val="single" w:color="000000" w:sz="4" w:space="0"/>
              <w:bottom w:val="single" w:color="000000" w:sz="4" w:space="0"/>
              <w:right w:val="single" w:color="000000" w:sz="4" w:space="0"/>
            </w:tcBorders>
            <w:noWrap w:val="0"/>
            <w:vAlign w:val="center"/>
          </w:tcPr>
          <w:p w14:paraId="0FFE7077">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1.《中华人民共和国行政处罚法》</w:t>
            </w:r>
          </w:p>
          <w:p w14:paraId="2CE5D123">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第三十三条　违法行为轻微并及时改正，没有造成危害后果的，不予行政处罚。初次违法且危害后果轻微并及时改正的，可以不予行政处罚。</w:t>
            </w:r>
          </w:p>
          <w:p w14:paraId="5F087C15">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当事人有证据足以证明没有主观过错的，不予行政处罚。法律、行政法规另有规定的，从其规定。</w:t>
            </w:r>
          </w:p>
          <w:p w14:paraId="2304108A">
            <w:pPr>
              <w:spacing w:line="300" w:lineRule="exac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对当事人的违法行为依法不予行政处罚的，行政机关应当对当事人进行教育。</w:t>
            </w:r>
          </w:p>
          <w:p w14:paraId="6230132F">
            <w:pPr>
              <w:spacing w:line="300" w:lineRule="exact"/>
              <w:rPr>
                <w:rStyle w:val="7"/>
                <w:rFonts w:hint="eastAsia" w:asciiTheme="minorEastAsia" w:hAnsiTheme="minorEastAsia" w:eastAsiaTheme="minorEastAsia" w:cstheme="minorEastAsia"/>
                <w:b w:val="0"/>
                <w:color w:val="000000"/>
                <w:sz w:val="24"/>
              </w:rPr>
            </w:pPr>
            <w:r>
              <w:rPr>
                <w:rStyle w:val="7"/>
                <w:rFonts w:hint="eastAsia" w:asciiTheme="minorEastAsia" w:hAnsiTheme="minorEastAsia" w:eastAsiaTheme="minorEastAsia" w:cstheme="minorEastAsia"/>
                <w:b w:val="0"/>
                <w:color w:val="000000"/>
                <w:spacing w:val="-6"/>
                <w:sz w:val="24"/>
              </w:rPr>
              <w:t>2.《导游管理办法》</w:t>
            </w:r>
          </w:p>
          <w:p w14:paraId="06CC98F3">
            <w:pPr>
              <w:spacing w:line="300" w:lineRule="exact"/>
              <w:rPr>
                <w:rFonts w:hint="eastAsia" w:asciiTheme="minorEastAsia" w:hAnsiTheme="minorEastAsia" w:eastAsiaTheme="minorEastAsia" w:cstheme="minorEastAsia"/>
                <w:color w:val="000000"/>
                <w:sz w:val="24"/>
              </w:rPr>
            </w:pPr>
            <w:r>
              <w:rPr>
                <w:rStyle w:val="7"/>
                <w:rFonts w:hint="eastAsia" w:asciiTheme="minorEastAsia" w:hAnsiTheme="minorEastAsia" w:eastAsiaTheme="minorEastAsia" w:cstheme="minorEastAsia"/>
                <w:b w:val="0"/>
                <w:color w:val="000000"/>
                <w:spacing w:val="-6"/>
                <w:sz w:val="24"/>
              </w:rPr>
              <w:t>第三十三条第一款第（五）项：违反本办法规定，导游有下列行为的，由县级以上旅游主管部门责令改正，并可以处1000元以下罚款；情节严重的，可以处1000元以上5000元以下罚款：（五）未按规定参加旅游主管部门组织的培训的。</w:t>
            </w:r>
          </w:p>
        </w:tc>
      </w:tr>
    </w:tbl>
    <w:p w14:paraId="11DD959F"/>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F0FC0DE-B09F-4037-B5DD-4C0A512B665B}"/>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2" w:fontKey="{A2D7EC9A-CABE-4A02-9DA7-01F530F47794}"/>
  </w:font>
  <w:font w:name="仿宋">
    <w:panose1 w:val="02010609060101010101"/>
    <w:charset w:val="86"/>
    <w:family w:val="auto"/>
    <w:pitch w:val="default"/>
    <w:sig w:usb0="800002BF" w:usb1="38CF7CFA" w:usb2="00000016" w:usb3="00000000" w:csb0="00040001" w:csb1="00000000"/>
    <w:embedRegular r:id="rId3" w:fontKey="{10F63E8C-1334-43F6-ABBD-CD851F05C127}"/>
  </w:font>
  <w:font w:name="方正小标宋简体">
    <w:panose1 w:val="02000000000000000000"/>
    <w:charset w:val="86"/>
    <w:family w:val="auto"/>
    <w:pitch w:val="default"/>
    <w:sig w:usb0="00000001" w:usb1="08000000" w:usb2="00000000" w:usb3="00000000" w:csb0="00040000" w:csb1="00000000"/>
    <w:embedRegular r:id="rId4" w:fontKey="{29FE0906-FED9-4B7C-B6FB-65596A191138}"/>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F582B">
    <w:pPr>
      <w:spacing w:before="1" w:line="235" w:lineRule="auto"/>
      <w:ind w:left="6"/>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68EB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0368EB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2A1C14"/>
    <w:rsid w:val="3D2A1C14"/>
    <w:rsid w:val="769F7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spacing w:line="240" w:lineRule="atLeast"/>
      <w:ind w:firstLine="420"/>
    </w:pPr>
    <w:rPr>
      <w:rFonts w:ascii="Verdana" w:hAnsi="Verdana" w:eastAsia="仿宋_GB2312" w:cs="宋体"/>
      <w:sz w:val="32"/>
      <w:szCs w:val="32"/>
    </w:r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character" w:styleId="7">
    <w:name w:val="Strong"/>
    <w:qFormat/>
    <w:uiPriority w:val="22"/>
    <w:rPr>
      <w:b/>
    </w:rPr>
  </w:style>
  <w:style w:type="paragraph" w:customStyle="1" w:styleId="8">
    <w:name w:val="新正文"/>
    <w:basedOn w:val="3"/>
    <w:qFormat/>
    <w:uiPriority w:val="0"/>
    <w:pPr>
      <w:ind w:firstLine="200" w:firstLineChars="200"/>
    </w:pPr>
    <w:rPr>
      <w:rFonts w:ascii="仿宋_GB2312"/>
    </w:rPr>
  </w:style>
  <w:style w:type="paragraph" w:customStyle="1" w:styleId="9">
    <w:name w:val="普通(网站)1"/>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4866</Words>
  <Characters>4940</Characters>
  <Lines>0</Lines>
  <Paragraphs>0</Paragraphs>
  <TotalTime>0</TotalTime>
  <ScaleCrop>false</ScaleCrop>
  <LinksUpToDate>false</LinksUpToDate>
  <CharactersWithSpaces>4966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2026-09-28T03:28:00Z</dcterms:created>
  <dc:creator>Administrator</dc:creator>
  <cp:lastModifiedBy>Administrator</cp:lastModifiedBy>
  <dcterms:modified xsi:type="dcterms:W3CDTF">2026-09-29T03:15:08Z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E0A514B1810044B29F15561C5C223067_11</vt:lpwstr>
  </property>
  <property fmtid="{D5CDD505-2E9C-101B-9397-08002B2CF9AE}" pid="4" name="KSOTemplateDocerSaveRecord">
    <vt:lpwstr>eyJoZGlkIjoiMjJlZDhkNDhlMTI0YzhjNGFhNmRjY2NhNmM1ZjgwYmMiLCJ1c2VySWQiOiIyOTg4MTY2NjMifQ==</vt:lpwstr>
  </property>
</Properties>
</file>