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FD3" w:rsidRDefault="00D17193">
      <w:pPr>
        <w:spacing w:line="460" w:lineRule="exact"/>
        <w:jc w:val="center"/>
        <w:rPr>
          <w:rFonts w:hAnsi="宋体"/>
          <w:color w:val="auto"/>
          <w:sz w:val="36"/>
          <w:szCs w:val="36"/>
        </w:rPr>
      </w:pPr>
      <w:r>
        <w:rPr>
          <w:rFonts w:hAnsi="宋体" w:hint="eastAsia"/>
          <w:color w:val="auto"/>
          <w:sz w:val="36"/>
          <w:szCs w:val="36"/>
        </w:rPr>
        <w:t>竞</w:t>
      </w:r>
      <w:r>
        <w:rPr>
          <w:rFonts w:hAnsi="宋体" w:hint="eastAsia"/>
          <w:color w:val="auto"/>
          <w:sz w:val="36"/>
          <w:szCs w:val="36"/>
        </w:rPr>
        <w:t xml:space="preserve"> </w:t>
      </w:r>
      <w:r>
        <w:rPr>
          <w:rFonts w:hAnsi="宋体" w:hint="eastAsia"/>
          <w:color w:val="auto"/>
          <w:sz w:val="36"/>
          <w:szCs w:val="36"/>
        </w:rPr>
        <w:t>买</w:t>
      </w:r>
      <w:r>
        <w:rPr>
          <w:rFonts w:hAnsi="宋体" w:hint="eastAsia"/>
          <w:color w:val="auto"/>
          <w:sz w:val="36"/>
          <w:szCs w:val="36"/>
        </w:rPr>
        <w:t xml:space="preserve"> </w:t>
      </w:r>
      <w:r>
        <w:rPr>
          <w:rFonts w:hAnsi="宋体" w:hint="eastAsia"/>
          <w:color w:val="auto"/>
          <w:sz w:val="36"/>
          <w:szCs w:val="36"/>
        </w:rPr>
        <w:t>须</w:t>
      </w:r>
      <w:r>
        <w:rPr>
          <w:rFonts w:hAnsi="宋体" w:hint="eastAsia"/>
          <w:color w:val="auto"/>
          <w:sz w:val="36"/>
          <w:szCs w:val="36"/>
        </w:rPr>
        <w:t xml:space="preserve"> </w:t>
      </w:r>
      <w:r>
        <w:rPr>
          <w:rFonts w:hAnsi="宋体" w:hint="eastAsia"/>
          <w:color w:val="auto"/>
          <w:sz w:val="36"/>
          <w:szCs w:val="36"/>
        </w:rPr>
        <w:t>知</w:t>
      </w:r>
    </w:p>
    <w:p w:rsidR="00407FD3" w:rsidRDefault="00D17193">
      <w:pPr>
        <w:spacing w:line="460" w:lineRule="exact"/>
        <w:ind w:firstLineChars="200" w:firstLine="560"/>
        <w:rPr>
          <w:rFonts w:ascii="宋体" w:hAnsi="宋体"/>
          <w:b w:val="0"/>
          <w:color w:val="auto"/>
          <w:kern w:val="0"/>
          <w:sz w:val="28"/>
          <w:szCs w:val="28"/>
        </w:rPr>
      </w:pPr>
      <w:r>
        <w:rPr>
          <w:rFonts w:ascii="宋体" w:hAnsi="宋体" w:hint="eastAsia"/>
          <w:b w:val="0"/>
          <w:color w:val="auto"/>
          <w:kern w:val="0"/>
          <w:sz w:val="28"/>
          <w:szCs w:val="28"/>
        </w:rPr>
        <w:t>为了保证活立木（采伐销售）竞买交易工作的顺利进行，避免在竞买交易工作和成交后生产经营过程中出现纠纷，制定本须知，竞买人应须知并遵守。</w:t>
      </w:r>
    </w:p>
    <w:p w:rsidR="00407FD3" w:rsidRDefault="00D17193">
      <w:pPr>
        <w:spacing w:line="460" w:lineRule="exact"/>
        <w:ind w:firstLineChars="200" w:firstLine="562"/>
        <w:rPr>
          <w:rFonts w:ascii="宋体" w:hAnsi="宋体"/>
          <w:color w:val="auto"/>
          <w:kern w:val="0"/>
          <w:sz w:val="28"/>
          <w:szCs w:val="28"/>
        </w:rPr>
      </w:pPr>
      <w:r>
        <w:rPr>
          <w:rFonts w:ascii="宋体" w:hAnsi="宋体" w:hint="eastAsia"/>
          <w:color w:val="auto"/>
          <w:sz w:val="28"/>
          <w:szCs w:val="28"/>
        </w:rPr>
        <w:t>一、活立木情况</w:t>
      </w:r>
    </w:p>
    <w:p w:rsidR="00407FD3" w:rsidRDefault="00D17193">
      <w:pPr>
        <w:spacing w:line="460" w:lineRule="exact"/>
        <w:ind w:firstLineChars="200" w:firstLine="562"/>
        <w:rPr>
          <w:rFonts w:ascii="宋体" w:hAnsi="宋体"/>
          <w:b w:val="0"/>
          <w:color w:val="auto"/>
          <w:sz w:val="28"/>
          <w:szCs w:val="28"/>
        </w:rPr>
      </w:pPr>
      <w:r>
        <w:rPr>
          <w:rFonts w:ascii="宋体" w:hAnsi="宋体" w:hint="eastAsia"/>
          <w:color w:val="auto"/>
          <w:sz w:val="28"/>
          <w:szCs w:val="28"/>
        </w:rPr>
        <w:t>（一）地点：</w:t>
      </w:r>
      <w:r>
        <w:rPr>
          <w:rFonts w:ascii="宋体" w:hAnsi="宋体" w:hint="eastAsia"/>
          <w:b w:val="0"/>
          <w:color w:val="auto"/>
          <w:sz w:val="28"/>
          <w:szCs w:val="28"/>
          <w:u w:val="single"/>
        </w:rPr>
        <w:t>详见木材资源情况一览表</w:t>
      </w:r>
      <w:r>
        <w:rPr>
          <w:rFonts w:ascii="宋体" w:hAnsi="宋体" w:hint="eastAsia"/>
          <w:b w:val="0"/>
          <w:color w:val="auto"/>
          <w:sz w:val="28"/>
          <w:szCs w:val="28"/>
        </w:rPr>
        <w:t>；</w:t>
      </w:r>
    </w:p>
    <w:p w:rsidR="00407FD3" w:rsidRDefault="00D17193">
      <w:pPr>
        <w:spacing w:line="460" w:lineRule="exact"/>
        <w:ind w:firstLineChars="200" w:firstLine="562"/>
        <w:rPr>
          <w:rFonts w:ascii="宋体" w:hAnsi="宋体"/>
          <w:b w:val="0"/>
          <w:color w:val="auto"/>
          <w:sz w:val="28"/>
          <w:szCs w:val="28"/>
        </w:rPr>
      </w:pPr>
      <w:r>
        <w:rPr>
          <w:rFonts w:ascii="宋体" w:hAnsi="宋体" w:hint="eastAsia"/>
          <w:color w:val="auto"/>
          <w:sz w:val="28"/>
          <w:szCs w:val="28"/>
        </w:rPr>
        <w:t>（二）现状：</w:t>
      </w:r>
      <w:r>
        <w:rPr>
          <w:rFonts w:ascii="宋体" w:hAnsi="宋体" w:hint="eastAsia"/>
          <w:b w:val="0"/>
          <w:color w:val="auto"/>
          <w:sz w:val="28"/>
          <w:szCs w:val="28"/>
          <w:u w:val="single"/>
        </w:rPr>
        <w:t>详见木材资源情况一览表</w:t>
      </w:r>
      <w:r>
        <w:rPr>
          <w:rFonts w:ascii="宋体" w:hAnsi="宋体" w:hint="eastAsia"/>
          <w:b w:val="0"/>
          <w:color w:val="auto"/>
          <w:sz w:val="28"/>
          <w:szCs w:val="28"/>
        </w:rPr>
        <w:t>；</w:t>
      </w:r>
    </w:p>
    <w:p w:rsidR="00407FD3" w:rsidRDefault="00D17193">
      <w:pPr>
        <w:spacing w:line="460" w:lineRule="exact"/>
        <w:ind w:firstLineChars="200" w:firstLine="562"/>
        <w:rPr>
          <w:rFonts w:ascii="宋体" w:hAnsi="宋体"/>
          <w:b w:val="0"/>
          <w:color w:val="auto"/>
          <w:sz w:val="28"/>
          <w:szCs w:val="28"/>
        </w:rPr>
      </w:pPr>
      <w:r>
        <w:rPr>
          <w:rFonts w:ascii="宋体" w:hAnsi="宋体" w:hint="eastAsia"/>
          <w:color w:val="auto"/>
          <w:sz w:val="28"/>
          <w:szCs w:val="28"/>
        </w:rPr>
        <w:t>（三）活立木：</w:t>
      </w:r>
      <w:r>
        <w:rPr>
          <w:rFonts w:ascii="宋体" w:hAnsi="宋体" w:hint="eastAsia"/>
          <w:b w:val="0"/>
          <w:color w:val="auto"/>
          <w:sz w:val="28"/>
          <w:szCs w:val="28"/>
        </w:rPr>
        <w:t>活立木为下列伐区约定采伐和销售期限内的林木所有权和使用权。</w:t>
      </w:r>
    </w:p>
    <w:tbl>
      <w:tblPr>
        <w:tblStyle w:val="a6"/>
        <w:tblW w:w="10349" w:type="dxa"/>
        <w:tblInd w:w="-743" w:type="dxa"/>
        <w:tblLayout w:type="fixed"/>
        <w:tblLook w:val="04A0"/>
      </w:tblPr>
      <w:tblGrid>
        <w:gridCol w:w="565"/>
        <w:gridCol w:w="565"/>
        <w:gridCol w:w="566"/>
        <w:gridCol w:w="565"/>
        <w:gridCol w:w="575"/>
        <w:gridCol w:w="567"/>
        <w:gridCol w:w="709"/>
        <w:gridCol w:w="708"/>
        <w:gridCol w:w="709"/>
        <w:gridCol w:w="709"/>
        <w:gridCol w:w="567"/>
        <w:gridCol w:w="567"/>
        <w:gridCol w:w="567"/>
        <w:gridCol w:w="567"/>
        <w:gridCol w:w="567"/>
        <w:gridCol w:w="567"/>
        <w:gridCol w:w="709"/>
      </w:tblGrid>
      <w:tr w:rsidR="00407FD3">
        <w:trPr>
          <w:trHeight w:val="347"/>
        </w:trPr>
        <w:tc>
          <w:tcPr>
            <w:tcW w:w="565" w:type="dxa"/>
            <w:vMerge w:val="restart"/>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标的</w:t>
            </w:r>
          </w:p>
        </w:tc>
        <w:tc>
          <w:tcPr>
            <w:tcW w:w="2271" w:type="dxa"/>
            <w:gridSpan w:val="4"/>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地点</w:t>
            </w:r>
          </w:p>
        </w:tc>
        <w:tc>
          <w:tcPr>
            <w:tcW w:w="567" w:type="dxa"/>
            <w:vMerge w:val="restart"/>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面积（亩）</w:t>
            </w:r>
          </w:p>
        </w:tc>
        <w:tc>
          <w:tcPr>
            <w:tcW w:w="709" w:type="dxa"/>
            <w:vMerge w:val="restart"/>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伐区号</w:t>
            </w:r>
          </w:p>
        </w:tc>
        <w:tc>
          <w:tcPr>
            <w:tcW w:w="708" w:type="dxa"/>
            <w:vMerge w:val="restart"/>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采伐</w:t>
            </w:r>
          </w:p>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方式</w:t>
            </w:r>
          </w:p>
        </w:tc>
        <w:tc>
          <w:tcPr>
            <w:tcW w:w="709" w:type="dxa"/>
            <w:vMerge w:val="restart"/>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采伐强度（蓄积）</w:t>
            </w:r>
          </w:p>
        </w:tc>
        <w:tc>
          <w:tcPr>
            <w:tcW w:w="4111" w:type="dxa"/>
            <w:gridSpan w:val="7"/>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审批出材量（立方米）</w:t>
            </w:r>
          </w:p>
        </w:tc>
        <w:tc>
          <w:tcPr>
            <w:tcW w:w="709" w:type="dxa"/>
            <w:vMerge w:val="restart"/>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薪材（吨）</w:t>
            </w:r>
          </w:p>
        </w:tc>
      </w:tr>
      <w:tr w:rsidR="00407FD3">
        <w:trPr>
          <w:trHeight w:val="202"/>
        </w:trPr>
        <w:tc>
          <w:tcPr>
            <w:tcW w:w="565" w:type="dxa"/>
            <w:vMerge/>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工区</w:t>
            </w:r>
          </w:p>
        </w:tc>
        <w:tc>
          <w:tcPr>
            <w:tcW w:w="566"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林班</w:t>
            </w:r>
          </w:p>
        </w:tc>
        <w:tc>
          <w:tcPr>
            <w:tcW w:w="56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大班</w:t>
            </w:r>
          </w:p>
        </w:tc>
        <w:tc>
          <w:tcPr>
            <w:tcW w:w="57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小班</w:t>
            </w:r>
          </w:p>
        </w:tc>
        <w:tc>
          <w:tcPr>
            <w:tcW w:w="567" w:type="dxa"/>
            <w:vMerge/>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709" w:type="dxa"/>
            <w:vMerge/>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708" w:type="dxa"/>
            <w:vMerge/>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709" w:type="dxa"/>
            <w:vMerge/>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小计</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杉规</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杉非</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松规</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松非</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杂规</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杂非</w:t>
            </w:r>
          </w:p>
        </w:tc>
        <w:tc>
          <w:tcPr>
            <w:tcW w:w="709" w:type="dxa"/>
            <w:vMerge/>
            <w:vAlign w:val="center"/>
          </w:tcPr>
          <w:p w:rsidR="00407FD3" w:rsidRDefault="00407FD3">
            <w:pPr>
              <w:spacing w:line="240" w:lineRule="exact"/>
              <w:jc w:val="center"/>
              <w:rPr>
                <w:rFonts w:asciiTheme="minorEastAsia" w:eastAsiaTheme="minorEastAsia" w:hAnsiTheme="minorEastAsia"/>
                <w:b w:val="0"/>
                <w:color w:val="auto"/>
                <w:sz w:val="13"/>
                <w:szCs w:val="13"/>
              </w:rPr>
            </w:pPr>
          </w:p>
        </w:tc>
      </w:tr>
      <w:tr w:rsidR="00407FD3">
        <w:trPr>
          <w:trHeight w:val="440"/>
        </w:trPr>
        <w:tc>
          <w:tcPr>
            <w:tcW w:w="565" w:type="dxa"/>
            <w:vMerge w:val="restart"/>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第</w:t>
            </w:r>
          </w:p>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w:t>
            </w:r>
          </w:p>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标</w:t>
            </w:r>
          </w:p>
        </w:tc>
        <w:tc>
          <w:tcPr>
            <w:tcW w:w="56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富尾</w:t>
            </w:r>
          </w:p>
        </w:tc>
        <w:tc>
          <w:tcPr>
            <w:tcW w:w="566"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024</w:t>
            </w:r>
          </w:p>
        </w:tc>
        <w:tc>
          <w:tcPr>
            <w:tcW w:w="56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10</w:t>
            </w:r>
          </w:p>
        </w:tc>
        <w:tc>
          <w:tcPr>
            <w:tcW w:w="57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030</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11</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26050</w:t>
            </w:r>
          </w:p>
        </w:tc>
        <w:tc>
          <w:tcPr>
            <w:tcW w:w="708"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皆伐</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100</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80.1</w:t>
            </w: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24.3</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27.4</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15.2</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13.2</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26.4</w:t>
            </w:r>
          </w:p>
        </w:tc>
      </w:tr>
      <w:tr w:rsidR="00407FD3">
        <w:trPr>
          <w:trHeight w:val="440"/>
        </w:trPr>
        <w:tc>
          <w:tcPr>
            <w:tcW w:w="565" w:type="dxa"/>
            <w:vMerge/>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富尾</w:t>
            </w:r>
          </w:p>
        </w:tc>
        <w:tc>
          <w:tcPr>
            <w:tcW w:w="566"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024</w:t>
            </w:r>
          </w:p>
        </w:tc>
        <w:tc>
          <w:tcPr>
            <w:tcW w:w="56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10</w:t>
            </w:r>
          </w:p>
        </w:tc>
        <w:tc>
          <w:tcPr>
            <w:tcW w:w="57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050</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100</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26051</w:t>
            </w:r>
          </w:p>
        </w:tc>
        <w:tc>
          <w:tcPr>
            <w:tcW w:w="708"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皆伐</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100</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653.8</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0.2</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0.6</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237.4</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175.2</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132.9</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107.5</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187.5</w:t>
            </w:r>
          </w:p>
        </w:tc>
      </w:tr>
      <w:tr w:rsidR="00407FD3">
        <w:trPr>
          <w:trHeight w:val="440"/>
        </w:trPr>
        <w:tc>
          <w:tcPr>
            <w:tcW w:w="565" w:type="dxa"/>
            <w:vMerge/>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富尾</w:t>
            </w:r>
          </w:p>
        </w:tc>
        <w:tc>
          <w:tcPr>
            <w:tcW w:w="566"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035</w:t>
            </w:r>
          </w:p>
        </w:tc>
        <w:tc>
          <w:tcPr>
            <w:tcW w:w="56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06</w:t>
            </w:r>
          </w:p>
        </w:tc>
        <w:tc>
          <w:tcPr>
            <w:tcW w:w="57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100</w:t>
            </w:r>
            <w:r>
              <w:rPr>
                <w:rFonts w:asciiTheme="minorEastAsia" w:eastAsiaTheme="minorEastAsia" w:hAnsiTheme="minorEastAsia" w:hint="eastAsia"/>
                <w:b w:val="0"/>
                <w:color w:val="auto"/>
                <w:sz w:val="13"/>
                <w:szCs w:val="13"/>
              </w:rPr>
              <w:t>（</w:t>
            </w:r>
            <w:r>
              <w:rPr>
                <w:rFonts w:asciiTheme="minorEastAsia" w:eastAsiaTheme="minorEastAsia" w:hAnsiTheme="minorEastAsia" w:hint="eastAsia"/>
                <w:b w:val="0"/>
                <w:color w:val="auto"/>
                <w:sz w:val="13"/>
                <w:szCs w:val="13"/>
              </w:rPr>
              <w:t>1</w:t>
            </w:r>
            <w:r>
              <w:rPr>
                <w:rFonts w:asciiTheme="minorEastAsia" w:eastAsiaTheme="minorEastAsia" w:hAnsiTheme="minorEastAsia" w:hint="eastAsia"/>
                <w:b w:val="0"/>
                <w:color w:val="auto"/>
                <w:sz w:val="13"/>
                <w:szCs w:val="13"/>
              </w:rPr>
              <w:t>）</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25</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26052</w:t>
            </w:r>
          </w:p>
        </w:tc>
        <w:tc>
          <w:tcPr>
            <w:tcW w:w="708"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择伐</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55</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27.6</w:t>
            </w: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15.8</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11.8</w:t>
            </w: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709"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r>
      <w:tr w:rsidR="00407FD3">
        <w:trPr>
          <w:trHeight w:val="440"/>
        </w:trPr>
        <w:tc>
          <w:tcPr>
            <w:tcW w:w="565" w:type="dxa"/>
            <w:vMerge/>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富尾</w:t>
            </w:r>
          </w:p>
        </w:tc>
        <w:tc>
          <w:tcPr>
            <w:tcW w:w="566"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035</w:t>
            </w:r>
          </w:p>
        </w:tc>
        <w:tc>
          <w:tcPr>
            <w:tcW w:w="56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08</w:t>
            </w:r>
          </w:p>
        </w:tc>
        <w:tc>
          <w:tcPr>
            <w:tcW w:w="57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020</w:t>
            </w:r>
            <w:r>
              <w:rPr>
                <w:rFonts w:asciiTheme="minorEastAsia" w:eastAsiaTheme="minorEastAsia" w:hAnsiTheme="minorEastAsia" w:hint="eastAsia"/>
                <w:b w:val="0"/>
                <w:color w:val="auto"/>
                <w:sz w:val="13"/>
                <w:szCs w:val="13"/>
              </w:rPr>
              <w:t>（</w:t>
            </w:r>
            <w:r>
              <w:rPr>
                <w:rFonts w:asciiTheme="minorEastAsia" w:eastAsiaTheme="minorEastAsia" w:hAnsiTheme="minorEastAsia" w:hint="eastAsia"/>
                <w:b w:val="0"/>
                <w:color w:val="auto"/>
                <w:sz w:val="13"/>
                <w:szCs w:val="13"/>
              </w:rPr>
              <w:t>1</w:t>
            </w:r>
            <w:r>
              <w:rPr>
                <w:rFonts w:asciiTheme="minorEastAsia" w:eastAsiaTheme="minorEastAsia" w:hAnsiTheme="minorEastAsia" w:hint="eastAsia"/>
                <w:b w:val="0"/>
                <w:color w:val="auto"/>
                <w:sz w:val="13"/>
                <w:szCs w:val="13"/>
              </w:rPr>
              <w:t>）</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8</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26053</w:t>
            </w:r>
          </w:p>
        </w:tc>
        <w:tc>
          <w:tcPr>
            <w:tcW w:w="708"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择伐</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90</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43.5</w:t>
            </w: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18.6</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24.9</w:t>
            </w: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0.2</w:t>
            </w:r>
          </w:p>
        </w:tc>
      </w:tr>
      <w:tr w:rsidR="00407FD3">
        <w:trPr>
          <w:trHeight w:val="440"/>
        </w:trPr>
        <w:tc>
          <w:tcPr>
            <w:tcW w:w="565" w:type="dxa"/>
            <w:vMerge/>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富尾</w:t>
            </w:r>
          </w:p>
        </w:tc>
        <w:tc>
          <w:tcPr>
            <w:tcW w:w="566"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035</w:t>
            </w:r>
          </w:p>
        </w:tc>
        <w:tc>
          <w:tcPr>
            <w:tcW w:w="56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08</w:t>
            </w:r>
          </w:p>
        </w:tc>
        <w:tc>
          <w:tcPr>
            <w:tcW w:w="57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050</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15</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26054</w:t>
            </w:r>
          </w:p>
        </w:tc>
        <w:tc>
          <w:tcPr>
            <w:tcW w:w="708"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择伐</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71.3</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48.5</w:t>
            </w: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19.1</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29.4</w:t>
            </w: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0.2</w:t>
            </w:r>
          </w:p>
        </w:tc>
      </w:tr>
      <w:tr w:rsidR="00407FD3">
        <w:trPr>
          <w:trHeight w:val="440"/>
        </w:trPr>
        <w:tc>
          <w:tcPr>
            <w:tcW w:w="565" w:type="dxa"/>
            <w:vMerge/>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富尾</w:t>
            </w:r>
          </w:p>
        </w:tc>
        <w:tc>
          <w:tcPr>
            <w:tcW w:w="566"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035</w:t>
            </w:r>
          </w:p>
        </w:tc>
        <w:tc>
          <w:tcPr>
            <w:tcW w:w="56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08</w:t>
            </w:r>
          </w:p>
        </w:tc>
        <w:tc>
          <w:tcPr>
            <w:tcW w:w="57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060</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128</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26055</w:t>
            </w:r>
          </w:p>
        </w:tc>
        <w:tc>
          <w:tcPr>
            <w:tcW w:w="708"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择伐</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89</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885.8</w:t>
            </w: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547</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338.8</w:t>
            </w: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3</w:t>
            </w:r>
          </w:p>
        </w:tc>
      </w:tr>
      <w:tr w:rsidR="00407FD3">
        <w:trPr>
          <w:trHeight w:val="440"/>
        </w:trPr>
        <w:tc>
          <w:tcPr>
            <w:tcW w:w="565" w:type="dxa"/>
            <w:vMerge/>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富尾</w:t>
            </w:r>
          </w:p>
        </w:tc>
        <w:tc>
          <w:tcPr>
            <w:tcW w:w="566"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035</w:t>
            </w:r>
          </w:p>
        </w:tc>
        <w:tc>
          <w:tcPr>
            <w:tcW w:w="56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09</w:t>
            </w:r>
          </w:p>
        </w:tc>
        <w:tc>
          <w:tcPr>
            <w:tcW w:w="57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060</w:t>
            </w:r>
            <w:r>
              <w:rPr>
                <w:rFonts w:asciiTheme="minorEastAsia" w:eastAsiaTheme="minorEastAsia" w:hAnsiTheme="minorEastAsia" w:hint="eastAsia"/>
                <w:b w:val="0"/>
                <w:color w:val="auto"/>
                <w:sz w:val="13"/>
                <w:szCs w:val="13"/>
              </w:rPr>
              <w:t>（</w:t>
            </w:r>
            <w:r>
              <w:rPr>
                <w:rFonts w:asciiTheme="minorEastAsia" w:eastAsiaTheme="minorEastAsia" w:hAnsiTheme="minorEastAsia" w:hint="eastAsia"/>
                <w:b w:val="0"/>
                <w:color w:val="auto"/>
                <w:sz w:val="13"/>
                <w:szCs w:val="13"/>
              </w:rPr>
              <w:t>1</w:t>
            </w:r>
            <w:r>
              <w:rPr>
                <w:rFonts w:asciiTheme="minorEastAsia" w:eastAsiaTheme="minorEastAsia" w:hAnsiTheme="minorEastAsia" w:hint="eastAsia"/>
                <w:b w:val="0"/>
                <w:color w:val="auto"/>
                <w:sz w:val="13"/>
                <w:szCs w:val="13"/>
              </w:rPr>
              <w:t>）</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43</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26056</w:t>
            </w:r>
          </w:p>
        </w:tc>
        <w:tc>
          <w:tcPr>
            <w:tcW w:w="708"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择伐</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68</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175.2</w:t>
            </w: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118.9</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56.3</w:t>
            </w: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0.2</w:t>
            </w:r>
          </w:p>
        </w:tc>
      </w:tr>
      <w:tr w:rsidR="00407FD3">
        <w:trPr>
          <w:trHeight w:val="440"/>
        </w:trPr>
        <w:tc>
          <w:tcPr>
            <w:tcW w:w="565" w:type="dxa"/>
            <w:vMerge/>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富尾</w:t>
            </w:r>
          </w:p>
        </w:tc>
        <w:tc>
          <w:tcPr>
            <w:tcW w:w="566"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035</w:t>
            </w:r>
          </w:p>
        </w:tc>
        <w:tc>
          <w:tcPr>
            <w:tcW w:w="56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10</w:t>
            </w:r>
          </w:p>
        </w:tc>
        <w:tc>
          <w:tcPr>
            <w:tcW w:w="575"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030</w:t>
            </w:r>
            <w:r>
              <w:rPr>
                <w:rFonts w:asciiTheme="minorEastAsia" w:eastAsiaTheme="minorEastAsia" w:hAnsiTheme="minorEastAsia" w:hint="eastAsia"/>
                <w:b w:val="0"/>
                <w:color w:val="auto"/>
                <w:sz w:val="13"/>
                <w:szCs w:val="13"/>
              </w:rPr>
              <w:t>（</w:t>
            </w:r>
            <w:r>
              <w:rPr>
                <w:rFonts w:asciiTheme="minorEastAsia" w:eastAsiaTheme="minorEastAsia" w:hAnsiTheme="minorEastAsia" w:hint="eastAsia"/>
                <w:b w:val="0"/>
                <w:color w:val="auto"/>
                <w:sz w:val="13"/>
                <w:szCs w:val="13"/>
              </w:rPr>
              <w:t>1</w:t>
            </w:r>
            <w:r>
              <w:rPr>
                <w:rFonts w:asciiTheme="minorEastAsia" w:eastAsiaTheme="minorEastAsia" w:hAnsiTheme="minorEastAsia" w:hint="eastAsia"/>
                <w:b w:val="0"/>
                <w:color w:val="auto"/>
                <w:sz w:val="13"/>
                <w:szCs w:val="13"/>
              </w:rPr>
              <w:t>）</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26</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26057</w:t>
            </w:r>
          </w:p>
        </w:tc>
        <w:tc>
          <w:tcPr>
            <w:tcW w:w="708"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择伐</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84</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191.3</w:t>
            </w: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131.9</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59.4</w:t>
            </w: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567"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0.1</w:t>
            </w:r>
          </w:p>
        </w:tc>
      </w:tr>
      <w:tr w:rsidR="00407FD3">
        <w:trPr>
          <w:trHeight w:val="440"/>
        </w:trPr>
        <w:tc>
          <w:tcPr>
            <w:tcW w:w="565" w:type="dxa"/>
            <w:vMerge/>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2271" w:type="dxa"/>
            <w:gridSpan w:val="4"/>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小计</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356</w:t>
            </w:r>
          </w:p>
        </w:tc>
        <w:tc>
          <w:tcPr>
            <w:tcW w:w="709"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708"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709" w:type="dxa"/>
            <w:vAlign w:val="center"/>
          </w:tcPr>
          <w:p w:rsidR="00407FD3" w:rsidRDefault="00407FD3">
            <w:pPr>
              <w:spacing w:line="240" w:lineRule="exact"/>
              <w:jc w:val="center"/>
              <w:rPr>
                <w:rFonts w:asciiTheme="minorEastAsia" w:eastAsiaTheme="minorEastAsia" w:hAnsiTheme="minorEastAsia"/>
                <w:b w:val="0"/>
                <w:color w:val="auto"/>
                <w:sz w:val="13"/>
                <w:szCs w:val="13"/>
              </w:rPr>
            </w:pP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2105.8</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0.2</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0.6</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1113</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723.2</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148.1</w:t>
            </w:r>
          </w:p>
        </w:tc>
        <w:tc>
          <w:tcPr>
            <w:tcW w:w="567"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120.7</w:t>
            </w:r>
          </w:p>
        </w:tc>
        <w:tc>
          <w:tcPr>
            <w:tcW w:w="709" w:type="dxa"/>
            <w:vAlign w:val="center"/>
          </w:tcPr>
          <w:p w:rsidR="00407FD3" w:rsidRDefault="00D17193">
            <w:pPr>
              <w:spacing w:line="240" w:lineRule="exact"/>
              <w:jc w:val="center"/>
              <w:rPr>
                <w:rFonts w:asciiTheme="minorEastAsia" w:eastAsiaTheme="minorEastAsia" w:hAnsiTheme="minorEastAsia"/>
                <w:b w:val="0"/>
                <w:color w:val="auto"/>
                <w:sz w:val="13"/>
                <w:szCs w:val="13"/>
              </w:rPr>
            </w:pPr>
            <w:r>
              <w:rPr>
                <w:rFonts w:asciiTheme="minorEastAsia" w:eastAsiaTheme="minorEastAsia" w:hAnsiTheme="minorEastAsia" w:hint="eastAsia"/>
                <w:b w:val="0"/>
                <w:color w:val="auto"/>
                <w:sz w:val="13"/>
                <w:szCs w:val="13"/>
              </w:rPr>
              <w:t>217.6</w:t>
            </w:r>
          </w:p>
        </w:tc>
      </w:tr>
    </w:tbl>
    <w:p w:rsidR="00407FD3" w:rsidRDefault="00D17193">
      <w:pPr>
        <w:adjustRightInd w:val="0"/>
        <w:snapToGrid w:val="0"/>
        <w:spacing w:line="440" w:lineRule="exact"/>
        <w:ind w:firstLineChars="200" w:firstLine="562"/>
        <w:contextualSpacing/>
        <w:rPr>
          <w:rFonts w:asciiTheme="minorEastAsia" w:eastAsiaTheme="minorEastAsia" w:hAnsiTheme="minorEastAsia"/>
          <w:snapToGrid w:val="0"/>
          <w:color w:val="auto"/>
          <w:sz w:val="28"/>
          <w:szCs w:val="28"/>
        </w:rPr>
      </w:pPr>
      <w:r>
        <w:rPr>
          <w:rFonts w:asciiTheme="minorEastAsia" w:eastAsiaTheme="minorEastAsia" w:hAnsiTheme="minorEastAsia" w:hint="eastAsia"/>
          <w:snapToGrid w:val="0"/>
          <w:color w:val="auto"/>
          <w:sz w:val="28"/>
          <w:szCs w:val="28"/>
        </w:rPr>
        <w:t>二、活立木评估</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标的面积采用勾绘调查，林木蓄积量采用每木检量调查并计算出材量。竞买人应对标的活立木进行现场勘查，详细测算，并对标的活立木价值作综合评估。竞买人一旦报名参加竞买交易，均视为其对所竞买的标的活立木已经作了全面了解，对其所竞买标的活立木的位置、面积、周界（以标的边界标号木为准）、数量、质量、价值及转让方提出的有关事项表示认可，自愿参加竞买交易，自负盈亏。</w:t>
      </w:r>
    </w:p>
    <w:p w:rsidR="00407FD3" w:rsidRDefault="00D17193">
      <w:pPr>
        <w:adjustRightInd w:val="0"/>
        <w:snapToGrid w:val="0"/>
        <w:spacing w:line="440" w:lineRule="exact"/>
        <w:ind w:firstLineChars="200" w:firstLine="562"/>
        <w:contextualSpacing/>
        <w:rPr>
          <w:rFonts w:asciiTheme="minorEastAsia" w:eastAsiaTheme="minorEastAsia" w:hAnsiTheme="minorEastAsia"/>
          <w:snapToGrid w:val="0"/>
          <w:color w:val="auto"/>
          <w:sz w:val="28"/>
          <w:szCs w:val="28"/>
        </w:rPr>
      </w:pPr>
      <w:r>
        <w:rPr>
          <w:rFonts w:asciiTheme="minorEastAsia" w:eastAsiaTheme="minorEastAsia" w:hAnsiTheme="minorEastAsia" w:hint="eastAsia"/>
          <w:snapToGrid w:val="0"/>
          <w:color w:val="auto"/>
          <w:sz w:val="28"/>
          <w:szCs w:val="28"/>
        </w:rPr>
        <w:t>三、竞买方式</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snapToGrid w:val="0"/>
          <w:color w:val="auto"/>
          <w:sz w:val="28"/>
          <w:szCs w:val="28"/>
        </w:rPr>
        <w:t>（一）竞价时间：</w:t>
      </w:r>
      <w:r>
        <w:rPr>
          <w:rFonts w:asciiTheme="minorEastAsia" w:eastAsiaTheme="minorEastAsia" w:hAnsiTheme="minorEastAsia" w:hint="eastAsia"/>
          <w:b w:val="0"/>
          <w:snapToGrid w:val="0"/>
          <w:color w:val="FF0000"/>
          <w:sz w:val="28"/>
          <w:szCs w:val="28"/>
        </w:rPr>
        <w:t>2026</w:t>
      </w:r>
      <w:r>
        <w:rPr>
          <w:rFonts w:asciiTheme="minorEastAsia" w:eastAsiaTheme="minorEastAsia" w:hAnsiTheme="minorEastAsia"/>
          <w:b w:val="0"/>
          <w:snapToGrid w:val="0"/>
          <w:color w:val="FF0000"/>
          <w:sz w:val="28"/>
          <w:szCs w:val="28"/>
        </w:rPr>
        <w:t>年</w:t>
      </w:r>
      <w:r>
        <w:rPr>
          <w:rFonts w:asciiTheme="minorEastAsia" w:eastAsiaTheme="minorEastAsia" w:hAnsiTheme="minorEastAsia" w:hint="eastAsia"/>
          <w:b w:val="0"/>
          <w:snapToGrid w:val="0"/>
          <w:color w:val="FF0000"/>
          <w:sz w:val="28"/>
          <w:szCs w:val="28"/>
        </w:rPr>
        <w:t>10</w:t>
      </w:r>
      <w:r>
        <w:rPr>
          <w:rFonts w:asciiTheme="minorEastAsia" w:eastAsiaTheme="minorEastAsia" w:hAnsiTheme="minorEastAsia"/>
          <w:b w:val="0"/>
          <w:snapToGrid w:val="0"/>
          <w:color w:val="FF0000"/>
          <w:sz w:val="28"/>
          <w:szCs w:val="28"/>
        </w:rPr>
        <w:t>月</w:t>
      </w:r>
      <w:r>
        <w:rPr>
          <w:rFonts w:asciiTheme="minorEastAsia" w:eastAsiaTheme="minorEastAsia" w:hAnsiTheme="minorEastAsia" w:hint="eastAsia"/>
          <w:b w:val="0"/>
          <w:snapToGrid w:val="0"/>
          <w:color w:val="FF0000"/>
          <w:sz w:val="28"/>
          <w:szCs w:val="28"/>
        </w:rPr>
        <w:t>16</w:t>
      </w:r>
      <w:r>
        <w:rPr>
          <w:rFonts w:asciiTheme="minorEastAsia" w:eastAsiaTheme="minorEastAsia" w:hAnsiTheme="minorEastAsia"/>
          <w:b w:val="0"/>
          <w:snapToGrid w:val="0"/>
          <w:color w:val="FF0000"/>
          <w:sz w:val="28"/>
          <w:szCs w:val="28"/>
        </w:rPr>
        <w:t>日</w:t>
      </w:r>
      <w:r>
        <w:rPr>
          <w:rFonts w:asciiTheme="minorEastAsia" w:eastAsiaTheme="minorEastAsia" w:hAnsiTheme="minorEastAsia" w:hint="eastAsia"/>
          <w:b w:val="0"/>
          <w:snapToGrid w:val="0"/>
          <w:color w:val="FF0000"/>
          <w:sz w:val="28"/>
          <w:szCs w:val="28"/>
        </w:rPr>
        <w:t>上午</w:t>
      </w:r>
      <w:r>
        <w:rPr>
          <w:rFonts w:asciiTheme="minorEastAsia" w:eastAsiaTheme="minorEastAsia" w:hAnsiTheme="minorEastAsia" w:hint="eastAsia"/>
          <w:b w:val="0"/>
          <w:snapToGrid w:val="0"/>
          <w:color w:val="FF0000"/>
          <w:sz w:val="28"/>
          <w:szCs w:val="28"/>
        </w:rPr>
        <w:t>10:00-10:20</w:t>
      </w:r>
    </w:p>
    <w:p w:rsidR="00407FD3" w:rsidRDefault="00D17193">
      <w:pPr>
        <w:adjustRightInd w:val="0"/>
        <w:snapToGrid w:val="0"/>
        <w:spacing w:line="440" w:lineRule="exact"/>
        <w:ind w:firstLineChars="200" w:firstLine="562"/>
        <w:contextualSpacing/>
        <w:rPr>
          <w:rFonts w:asciiTheme="minorEastAsia" w:eastAsiaTheme="minorEastAsia" w:hAnsiTheme="minorEastAsia" w:cs="仿宋_GB2312"/>
          <w:b w:val="0"/>
          <w:snapToGrid w:val="0"/>
          <w:color w:val="auto"/>
          <w:sz w:val="28"/>
          <w:szCs w:val="28"/>
        </w:rPr>
      </w:pPr>
      <w:r>
        <w:rPr>
          <w:rFonts w:asciiTheme="minorEastAsia" w:eastAsiaTheme="minorEastAsia" w:hAnsiTheme="minorEastAsia" w:hint="eastAsia"/>
          <w:snapToGrid w:val="0"/>
          <w:color w:val="auto"/>
          <w:sz w:val="28"/>
          <w:szCs w:val="28"/>
        </w:rPr>
        <w:t>（二）报价规则：</w:t>
      </w:r>
      <w:r>
        <w:rPr>
          <w:rFonts w:asciiTheme="minorEastAsia" w:eastAsiaTheme="minorEastAsia" w:hAnsiTheme="minorEastAsia" w:cs="仿宋_GB2312" w:hint="eastAsia"/>
          <w:b w:val="0"/>
          <w:snapToGrid w:val="0"/>
          <w:color w:val="auto"/>
          <w:sz w:val="28"/>
          <w:szCs w:val="28"/>
        </w:rPr>
        <w:t>本次项目每个标的出价的竞买人必须符合资格后审要求（需符合法人代表不能为同一人或互为关联企业）。资格后</w:t>
      </w:r>
      <w:r>
        <w:rPr>
          <w:rFonts w:asciiTheme="minorEastAsia" w:eastAsiaTheme="minorEastAsia" w:hAnsiTheme="minorEastAsia" w:cs="仿宋_GB2312" w:hint="eastAsia"/>
          <w:b w:val="0"/>
          <w:snapToGrid w:val="0"/>
          <w:color w:val="auto"/>
          <w:sz w:val="28"/>
          <w:szCs w:val="28"/>
        </w:rPr>
        <w:lastRenderedPageBreak/>
        <w:t>审要求请参照资格后审承诺须知、资格后审内容、资格后审办法的相关条款。</w:t>
      </w:r>
    </w:p>
    <w:p w:rsidR="00407FD3" w:rsidRDefault="00D17193">
      <w:pPr>
        <w:adjustRightInd w:val="0"/>
        <w:snapToGrid w:val="0"/>
        <w:spacing w:line="440" w:lineRule="exact"/>
        <w:ind w:firstLineChars="200" w:firstLine="560"/>
        <w:contextualSpacing/>
        <w:rPr>
          <w:rFonts w:asciiTheme="minorEastAsia" w:eastAsiaTheme="minorEastAsia" w:hAnsiTheme="minorEastAsia" w:cs="仿宋_GB2312"/>
          <w:b w:val="0"/>
          <w:snapToGrid w:val="0"/>
          <w:color w:val="auto"/>
          <w:sz w:val="28"/>
          <w:szCs w:val="28"/>
        </w:rPr>
      </w:pPr>
      <w:r>
        <w:rPr>
          <w:rFonts w:asciiTheme="minorEastAsia" w:eastAsiaTheme="minorEastAsia" w:hAnsiTheme="minorEastAsia" w:cs="仿宋_GB2312" w:hint="eastAsia"/>
          <w:b w:val="0"/>
          <w:snapToGrid w:val="0"/>
          <w:color w:val="auto"/>
          <w:sz w:val="28"/>
          <w:szCs w:val="28"/>
        </w:rPr>
        <w:t>本项目采取</w:t>
      </w:r>
      <w:r w:rsidR="00407FD3" w:rsidRPr="00407FD3">
        <w:rPr>
          <w:rFonts w:asciiTheme="minorEastAsia" w:eastAsiaTheme="minorEastAsia" w:hAnsiTheme="minorEastAsia" w:cs="仿宋_GB2312" w:hint="eastAsia"/>
          <w:b w:val="0"/>
          <w:snapToGrid w:val="0"/>
          <w:color w:val="auto"/>
          <w:sz w:val="28"/>
          <w:szCs w:val="28"/>
        </w:rPr>
        <w:t>正向竞价—设有保留价（竞价结束后公布），不设置起竞价，各方报价互不可见（仅可见自身报价），采取递增式报价，高于或等于保留价的最高有效报价为成交候选人。</w:t>
      </w:r>
      <w:r>
        <w:rPr>
          <w:rFonts w:asciiTheme="minorEastAsia" w:eastAsiaTheme="minorEastAsia" w:hAnsiTheme="minorEastAsia" w:cs="仿宋_GB2312" w:hint="eastAsia"/>
          <w:b w:val="0"/>
          <w:snapToGrid w:val="0"/>
          <w:color w:val="auto"/>
          <w:sz w:val="28"/>
          <w:szCs w:val="28"/>
        </w:rPr>
        <w:t>若同时出现两个或两个以上最高有效报价，则以交易系统显示的报价时间优先者确定为成交候选人。成交候选人在候选人公示结束后无异议，则该成交候选人确定为买受人。</w:t>
      </w:r>
    </w:p>
    <w:p w:rsidR="00407FD3" w:rsidRDefault="00D17193">
      <w:pPr>
        <w:adjustRightInd w:val="0"/>
        <w:snapToGrid w:val="0"/>
        <w:spacing w:line="440" w:lineRule="exact"/>
        <w:ind w:firstLineChars="200" w:firstLine="560"/>
        <w:contextualSpacing/>
        <w:rPr>
          <w:rFonts w:asciiTheme="minorEastAsia" w:eastAsiaTheme="minorEastAsia" w:hAnsiTheme="minorEastAsia" w:cs="仿宋_GB2312"/>
          <w:b w:val="0"/>
          <w:snapToGrid w:val="0"/>
          <w:color w:val="auto"/>
          <w:sz w:val="28"/>
          <w:szCs w:val="28"/>
        </w:rPr>
      </w:pPr>
      <w:r>
        <w:rPr>
          <w:rFonts w:asciiTheme="minorEastAsia" w:eastAsiaTheme="minorEastAsia" w:hAnsiTheme="minorEastAsia" w:cs="仿宋_GB2312" w:hint="eastAsia"/>
          <w:b w:val="0"/>
          <w:snapToGrid w:val="0"/>
          <w:color w:val="auto"/>
          <w:sz w:val="28"/>
          <w:szCs w:val="28"/>
        </w:rPr>
        <w:t>按照既定的竞价规则选出的成交候选人，经资格后审（须满足所有资格后审内容）符合要求的作为成交候选人并予以公示。若第一成交候选人，被确定为不合格，将立即取消其成交候选人资格，将成交候选资格依次顺延至成交候选人第二名；若第二名仍不符合条件，将成交候选资格依次顺延至成交候选人第三名，以此类推，依次递补</w:t>
      </w:r>
      <w:r>
        <w:rPr>
          <w:rFonts w:asciiTheme="minorEastAsia" w:eastAsiaTheme="minorEastAsia" w:hAnsiTheme="minorEastAsia" w:cs="仿宋_GB2312" w:hint="eastAsia"/>
          <w:b w:val="0"/>
          <w:snapToGrid w:val="0"/>
          <w:color w:val="auto"/>
          <w:sz w:val="28"/>
          <w:szCs w:val="28"/>
        </w:rPr>
        <w:t>直到无法满足成交候选人这一条件时，则本次项目标的按未成交处理，重新组织该项目的竞价活动，具体详情见当期成交候选人公告及成交结果公告。</w:t>
      </w:r>
    </w:p>
    <w:p w:rsidR="00407FD3" w:rsidRDefault="00D17193">
      <w:pPr>
        <w:adjustRightInd w:val="0"/>
        <w:snapToGrid w:val="0"/>
        <w:spacing w:line="440" w:lineRule="exact"/>
        <w:ind w:firstLineChars="200" w:firstLine="560"/>
        <w:contextualSpacing/>
        <w:rPr>
          <w:rFonts w:asciiTheme="minorEastAsia" w:eastAsiaTheme="minorEastAsia" w:hAnsiTheme="minorEastAsia" w:cs="仿宋_GB2312"/>
          <w:b w:val="0"/>
          <w:snapToGrid w:val="0"/>
          <w:color w:val="auto"/>
          <w:sz w:val="28"/>
          <w:szCs w:val="28"/>
        </w:rPr>
      </w:pPr>
      <w:r>
        <w:rPr>
          <w:rFonts w:asciiTheme="minorEastAsia" w:eastAsiaTheme="minorEastAsia" w:hAnsiTheme="minorEastAsia" w:cs="仿宋_GB2312" w:hint="eastAsia"/>
          <w:b w:val="0"/>
          <w:snapToGrid w:val="0"/>
          <w:color w:val="auto"/>
          <w:sz w:val="28"/>
          <w:szCs w:val="28"/>
        </w:rPr>
        <w:t>若竞买人报价等于或大于保留价的五倍，农交中心可认定该报价无效，将根据上述报价规则从其他有效报价中按排名先后顺序依次递补为成交候选人。</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竞价阶梯：</w:t>
      </w:r>
      <w:r>
        <w:rPr>
          <w:rFonts w:asciiTheme="minorEastAsia" w:eastAsiaTheme="minorEastAsia" w:hAnsiTheme="minorEastAsia"/>
          <w:b w:val="0"/>
          <w:snapToGrid w:val="0"/>
          <w:color w:val="auto"/>
          <w:sz w:val="28"/>
          <w:szCs w:val="28"/>
        </w:rPr>
        <w:t>1000</w:t>
      </w:r>
      <w:r>
        <w:rPr>
          <w:rFonts w:asciiTheme="minorEastAsia" w:eastAsiaTheme="minorEastAsia" w:hAnsiTheme="minorEastAsia" w:hint="eastAsia"/>
          <w:b w:val="0"/>
          <w:snapToGrid w:val="0"/>
          <w:color w:val="auto"/>
          <w:sz w:val="28"/>
          <w:szCs w:val="28"/>
        </w:rPr>
        <w:t>元及其整数倍；竞价单位：元</w:t>
      </w:r>
    </w:p>
    <w:p w:rsidR="00407FD3" w:rsidRDefault="00D17193">
      <w:pPr>
        <w:adjustRightInd w:val="0"/>
        <w:snapToGrid w:val="0"/>
        <w:spacing w:line="440" w:lineRule="exact"/>
        <w:ind w:firstLineChars="200" w:firstLine="562"/>
        <w:contextualSpacing/>
        <w:rPr>
          <w:rFonts w:asciiTheme="minorEastAsia" w:eastAsiaTheme="minorEastAsia" w:hAnsiTheme="minorEastAsia"/>
          <w:snapToGrid w:val="0"/>
          <w:color w:val="auto"/>
          <w:sz w:val="28"/>
          <w:szCs w:val="28"/>
        </w:rPr>
      </w:pPr>
      <w:r>
        <w:rPr>
          <w:rFonts w:asciiTheme="minorEastAsia" w:eastAsiaTheme="minorEastAsia" w:hAnsiTheme="minorEastAsia" w:hint="eastAsia"/>
          <w:bCs/>
          <w:snapToGrid w:val="0"/>
          <w:color w:val="auto"/>
          <w:sz w:val="28"/>
          <w:szCs w:val="28"/>
        </w:rPr>
        <w:t>（三）竞买人竞买</w:t>
      </w:r>
      <w:r>
        <w:rPr>
          <w:rFonts w:asciiTheme="minorEastAsia" w:eastAsiaTheme="minorEastAsia" w:hAnsiTheme="minorEastAsia" w:hint="eastAsia"/>
          <w:snapToGrid w:val="0"/>
          <w:color w:val="auto"/>
          <w:sz w:val="28"/>
          <w:szCs w:val="28"/>
        </w:rPr>
        <w:t>报价包含</w:t>
      </w:r>
      <w:r>
        <w:rPr>
          <w:rFonts w:asciiTheme="minorEastAsia" w:eastAsiaTheme="minorEastAsia" w:hAnsiTheme="minorEastAsia" w:cs="仿宋_GB2312" w:hint="eastAsia"/>
          <w:bCs/>
          <w:snapToGrid w:val="0"/>
          <w:color w:val="auto"/>
          <w:sz w:val="28"/>
          <w:szCs w:val="28"/>
        </w:rPr>
        <w:t>《林木采伐许可证》办理费用，不含</w:t>
      </w:r>
      <w:r>
        <w:rPr>
          <w:rFonts w:asciiTheme="minorEastAsia" w:eastAsiaTheme="minorEastAsia" w:hAnsiTheme="minorEastAsia" w:hint="eastAsia"/>
          <w:snapToGrid w:val="0"/>
          <w:color w:val="auto"/>
          <w:sz w:val="28"/>
          <w:szCs w:val="28"/>
        </w:rPr>
        <w:t>生产与销售费用、</w:t>
      </w:r>
      <w:r>
        <w:rPr>
          <w:rFonts w:asciiTheme="minorEastAsia" w:eastAsiaTheme="minorEastAsia" w:hAnsiTheme="minorEastAsia" w:cs="仿宋_GB2312" w:hint="eastAsia"/>
          <w:bCs/>
          <w:snapToGrid w:val="0"/>
          <w:color w:val="auto"/>
          <w:sz w:val="28"/>
          <w:szCs w:val="28"/>
        </w:rPr>
        <w:t>成交后发生的政策变化费用、税收等。</w:t>
      </w:r>
    </w:p>
    <w:p w:rsidR="00407FD3" w:rsidRDefault="00D17193">
      <w:pPr>
        <w:adjustRightInd w:val="0"/>
        <w:snapToGrid w:val="0"/>
        <w:spacing w:line="440" w:lineRule="exact"/>
        <w:ind w:firstLineChars="200" w:firstLine="562"/>
        <w:contextualSpacing/>
        <w:rPr>
          <w:rFonts w:asciiTheme="minorEastAsia" w:eastAsiaTheme="minorEastAsia" w:hAnsiTheme="minorEastAsia"/>
          <w:snapToGrid w:val="0"/>
          <w:color w:val="auto"/>
          <w:sz w:val="28"/>
          <w:szCs w:val="28"/>
        </w:rPr>
      </w:pPr>
      <w:r>
        <w:rPr>
          <w:rFonts w:asciiTheme="minorEastAsia" w:eastAsiaTheme="minorEastAsia" w:hAnsiTheme="minorEastAsia" w:cs="仿宋_GB2312" w:hint="eastAsia"/>
          <w:bCs/>
          <w:snapToGrid w:val="0"/>
          <w:color w:val="auto"/>
          <w:sz w:val="28"/>
          <w:szCs w:val="28"/>
        </w:rPr>
        <w:t>（四）</w:t>
      </w:r>
      <w:r>
        <w:rPr>
          <w:rFonts w:asciiTheme="minorEastAsia" w:eastAsiaTheme="minorEastAsia" w:hAnsiTheme="minorEastAsia" w:hint="eastAsia"/>
          <w:bCs/>
          <w:snapToGrid w:val="0"/>
          <w:color w:val="auto"/>
          <w:sz w:val="28"/>
          <w:szCs w:val="28"/>
        </w:rPr>
        <w:t>竞买人</w:t>
      </w:r>
      <w:r>
        <w:rPr>
          <w:rFonts w:asciiTheme="minorEastAsia" w:eastAsiaTheme="minorEastAsia" w:hAnsiTheme="minorEastAsia" w:cs="仿宋_GB2312"/>
          <w:bCs/>
          <w:snapToGrid w:val="0"/>
          <w:color w:val="auto"/>
          <w:sz w:val="28"/>
          <w:szCs w:val="28"/>
        </w:rPr>
        <w:t>报名、资金往来、竞买、成交、山场拨交、资金结算、开具发票、迹地移交等过程，同一参与方使用的名称或名字必须一致。</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snapToGrid w:val="0"/>
          <w:color w:val="auto"/>
          <w:sz w:val="28"/>
          <w:szCs w:val="28"/>
        </w:rPr>
        <w:t>（五）</w:t>
      </w:r>
      <w:r>
        <w:rPr>
          <w:rFonts w:asciiTheme="minorEastAsia" w:eastAsiaTheme="minorEastAsia" w:hAnsiTheme="minorEastAsia" w:hint="eastAsia"/>
          <w:b w:val="0"/>
          <w:snapToGrid w:val="0"/>
          <w:color w:val="auto"/>
          <w:sz w:val="28"/>
          <w:szCs w:val="28"/>
        </w:rPr>
        <w:t>竞买人应于</w:t>
      </w:r>
      <w:r>
        <w:rPr>
          <w:rFonts w:asciiTheme="minorEastAsia" w:eastAsiaTheme="minorEastAsia" w:hAnsiTheme="minorEastAsia" w:hint="eastAsia"/>
          <w:b w:val="0"/>
          <w:snapToGrid w:val="0"/>
          <w:color w:val="FF0000"/>
          <w:sz w:val="28"/>
          <w:szCs w:val="28"/>
          <w:u w:val="single"/>
        </w:rPr>
        <w:t>2026</w:t>
      </w:r>
      <w:r>
        <w:rPr>
          <w:rFonts w:asciiTheme="minorEastAsia" w:eastAsiaTheme="minorEastAsia" w:hAnsiTheme="minorEastAsia" w:hint="eastAsia"/>
          <w:b w:val="0"/>
          <w:snapToGrid w:val="0"/>
          <w:color w:val="FF0000"/>
          <w:sz w:val="28"/>
          <w:szCs w:val="28"/>
          <w:u w:val="single"/>
        </w:rPr>
        <w:t>年</w:t>
      </w:r>
      <w:r>
        <w:rPr>
          <w:rFonts w:asciiTheme="minorEastAsia" w:eastAsiaTheme="minorEastAsia" w:hAnsiTheme="minorEastAsia" w:hint="eastAsia"/>
          <w:b w:val="0"/>
          <w:snapToGrid w:val="0"/>
          <w:color w:val="FF0000"/>
          <w:sz w:val="28"/>
          <w:szCs w:val="28"/>
          <w:u w:val="single"/>
        </w:rPr>
        <w:t>10</w:t>
      </w:r>
      <w:r>
        <w:rPr>
          <w:rFonts w:asciiTheme="minorEastAsia" w:eastAsiaTheme="minorEastAsia" w:hAnsiTheme="minorEastAsia" w:hint="eastAsia"/>
          <w:b w:val="0"/>
          <w:snapToGrid w:val="0"/>
          <w:color w:val="FF0000"/>
          <w:sz w:val="28"/>
          <w:szCs w:val="28"/>
          <w:u w:val="single"/>
        </w:rPr>
        <w:t>月</w:t>
      </w:r>
      <w:r>
        <w:rPr>
          <w:rFonts w:asciiTheme="minorEastAsia" w:eastAsiaTheme="minorEastAsia" w:hAnsiTheme="minorEastAsia" w:hint="eastAsia"/>
          <w:b w:val="0"/>
          <w:snapToGrid w:val="0"/>
          <w:color w:val="FF0000"/>
          <w:sz w:val="28"/>
          <w:szCs w:val="28"/>
          <w:u w:val="single"/>
        </w:rPr>
        <w:t>15</w:t>
      </w:r>
      <w:r>
        <w:rPr>
          <w:rFonts w:asciiTheme="minorEastAsia" w:eastAsiaTheme="minorEastAsia" w:hAnsiTheme="minorEastAsia" w:hint="eastAsia"/>
          <w:b w:val="0"/>
          <w:snapToGrid w:val="0"/>
          <w:color w:val="FF0000"/>
          <w:sz w:val="28"/>
          <w:szCs w:val="28"/>
          <w:u w:val="single"/>
        </w:rPr>
        <w:t>日下午</w:t>
      </w:r>
      <w:r>
        <w:rPr>
          <w:rFonts w:asciiTheme="minorEastAsia" w:eastAsiaTheme="minorEastAsia" w:hAnsiTheme="minorEastAsia" w:hint="eastAsia"/>
          <w:b w:val="0"/>
          <w:snapToGrid w:val="0"/>
          <w:color w:val="FF0000"/>
          <w:sz w:val="28"/>
          <w:szCs w:val="28"/>
          <w:u w:val="single"/>
        </w:rPr>
        <w:t>16:30</w:t>
      </w:r>
      <w:r>
        <w:rPr>
          <w:rFonts w:asciiTheme="minorEastAsia" w:eastAsiaTheme="minorEastAsia" w:hAnsiTheme="minorEastAsia" w:hint="eastAsia"/>
          <w:b w:val="0"/>
          <w:snapToGrid w:val="0"/>
          <w:color w:val="FF0000"/>
          <w:sz w:val="28"/>
          <w:szCs w:val="28"/>
        </w:rPr>
        <w:t>前</w:t>
      </w:r>
      <w:r>
        <w:rPr>
          <w:rFonts w:asciiTheme="minorEastAsia" w:eastAsiaTheme="minorEastAsia" w:hAnsiTheme="minorEastAsia" w:hint="eastAsia"/>
          <w:b w:val="0"/>
          <w:snapToGrid w:val="0"/>
          <w:color w:val="auto"/>
          <w:sz w:val="28"/>
          <w:szCs w:val="28"/>
        </w:rPr>
        <w:t>缴纳交易保证金（到账为准），须交纳的交易保证金详见木材资源情况一览表。</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重要提示</w:t>
      </w:r>
      <w:r>
        <w:rPr>
          <w:rFonts w:asciiTheme="minorEastAsia" w:eastAsiaTheme="minorEastAsia" w:hAnsiTheme="minorEastAsia" w:hint="eastAsia"/>
          <w:b w:val="0"/>
          <w:snapToGrid w:val="0"/>
          <w:color w:val="auto"/>
          <w:sz w:val="28"/>
          <w:szCs w:val="28"/>
        </w:rPr>
        <w:t>:</w:t>
      </w:r>
      <w:r>
        <w:rPr>
          <w:rFonts w:asciiTheme="minorEastAsia" w:eastAsiaTheme="minorEastAsia" w:hAnsiTheme="minorEastAsia" w:hint="eastAsia"/>
          <w:b w:val="0"/>
          <w:snapToGrid w:val="0"/>
          <w:color w:val="auto"/>
          <w:sz w:val="28"/>
          <w:szCs w:val="28"/>
        </w:rPr>
        <w:t>原尾号</w:t>
      </w:r>
      <w:r>
        <w:rPr>
          <w:rFonts w:asciiTheme="minorEastAsia" w:eastAsiaTheme="minorEastAsia" w:hAnsiTheme="minorEastAsia" w:hint="eastAsia"/>
          <w:b w:val="0"/>
          <w:snapToGrid w:val="0"/>
          <w:color w:val="auto"/>
          <w:sz w:val="28"/>
          <w:szCs w:val="28"/>
        </w:rPr>
        <w:t>1396</w:t>
      </w:r>
      <w:r>
        <w:rPr>
          <w:rFonts w:asciiTheme="minorEastAsia" w:eastAsiaTheme="minorEastAsia" w:hAnsiTheme="minorEastAsia" w:hint="eastAsia"/>
          <w:b w:val="0"/>
          <w:snapToGrid w:val="0"/>
          <w:color w:val="auto"/>
          <w:sz w:val="28"/>
          <w:szCs w:val="28"/>
        </w:rPr>
        <w:t>的保证金账户不再使用，每个项目标的保证金收款账号都不同</w:t>
      </w:r>
      <w:r>
        <w:rPr>
          <w:rFonts w:asciiTheme="minorEastAsia" w:eastAsiaTheme="minorEastAsia" w:hAnsiTheme="minorEastAsia" w:hint="eastAsia"/>
          <w:b w:val="0"/>
          <w:snapToGrid w:val="0"/>
          <w:color w:val="auto"/>
          <w:sz w:val="28"/>
          <w:szCs w:val="28"/>
        </w:rPr>
        <w:t>,</w:t>
      </w:r>
      <w:r>
        <w:rPr>
          <w:rFonts w:asciiTheme="minorEastAsia" w:eastAsiaTheme="minorEastAsia" w:hAnsiTheme="minorEastAsia" w:hint="eastAsia"/>
          <w:b w:val="0"/>
          <w:snapToGrid w:val="0"/>
          <w:color w:val="auto"/>
          <w:sz w:val="28"/>
          <w:szCs w:val="28"/>
        </w:rPr>
        <w:t>报名多个标的需要分别向各项目标的交保证金</w:t>
      </w:r>
      <w:r>
        <w:rPr>
          <w:rFonts w:asciiTheme="minorEastAsia" w:eastAsiaTheme="minorEastAsia" w:hAnsiTheme="minorEastAsia" w:hint="eastAsia"/>
          <w:b w:val="0"/>
          <w:snapToGrid w:val="0"/>
          <w:color w:val="auto"/>
          <w:sz w:val="28"/>
          <w:szCs w:val="28"/>
        </w:rPr>
        <w:t>,</w:t>
      </w:r>
      <w:r>
        <w:rPr>
          <w:rFonts w:asciiTheme="minorEastAsia" w:eastAsiaTheme="minorEastAsia" w:hAnsiTheme="minorEastAsia" w:hint="eastAsia"/>
          <w:b w:val="0"/>
          <w:snapToGrid w:val="0"/>
          <w:color w:val="auto"/>
          <w:sz w:val="28"/>
          <w:szCs w:val="28"/>
        </w:rPr>
        <w:t>请前往个人中心已报名项目或交款记录认真查看各标的的保证金收款账号信息</w:t>
      </w:r>
      <w:r>
        <w:rPr>
          <w:rFonts w:asciiTheme="minorEastAsia" w:eastAsiaTheme="minorEastAsia" w:hAnsiTheme="minorEastAsia" w:hint="eastAsia"/>
          <w:b w:val="0"/>
          <w:snapToGrid w:val="0"/>
          <w:color w:val="auto"/>
          <w:sz w:val="28"/>
          <w:szCs w:val="28"/>
        </w:rPr>
        <w:t>,</w:t>
      </w:r>
      <w:r>
        <w:rPr>
          <w:rFonts w:asciiTheme="minorEastAsia" w:eastAsiaTheme="minorEastAsia" w:hAnsiTheme="minorEastAsia" w:hint="eastAsia"/>
          <w:b w:val="0"/>
          <w:snapToGrid w:val="0"/>
          <w:color w:val="auto"/>
          <w:sz w:val="28"/>
          <w:szCs w:val="28"/>
        </w:rPr>
        <w:t>并使用已绑定银行卡交纳保证金</w:t>
      </w:r>
      <w:r>
        <w:rPr>
          <w:rFonts w:asciiTheme="minorEastAsia" w:eastAsiaTheme="minorEastAsia" w:hAnsiTheme="minorEastAsia" w:hint="eastAsia"/>
          <w:b w:val="0"/>
          <w:snapToGrid w:val="0"/>
          <w:color w:val="auto"/>
          <w:sz w:val="28"/>
          <w:szCs w:val="28"/>
        </w:rPr>
        <w:t>,</w:t>
      </w:r>
      <w:r>
        <w:rPr>
          <w:rFonts w:asciiTheme="minorEastAsia" w:eastAsiaTheme="minorEastAsia" w:hAnsiTheme="minorEastAsia" w:hint="eastAsia"/>
          <w:b w:val="0"/>
          <w:snapToGrid w:val="0"/>
          <w:color w:val="auto"/>
          <w:sz w:val="28"/>
          <w:szCs w:val="28"/>
        </w:rPr>
        <w:t>没有正确转账汇款将</w:t>
      </w:r>
      <w:r>
        <w:rPr>
          <w:rFonts w:asciiTheme="minorEastAsia" w:eastAsiaTheme="minorEastAsia" w:hAnsiTheme="minorEastAsia" w:hint="eastAsia"/>
          <w:b w:val="0"/>
          <w:snapToGrid w:val="0"/>
          <w:color w:val="auto"/>
          <w:sz w:val="28"/>
          <w:szCs w:val="28"/>
        </w:rPr>
        <w:lastRenderedPageBreak/>
        <w:t>影响您的资格开通。</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snapToGrid w:val="0"/>
          <w:color w:val="auto"/>
          <w:sz w:val="28"/>
          <w:szCs w:val="28"/>
        </w:rPr>
        <w:t>（六）</w:t>
      </w:r>
      <w:r>
        <w:rPr>
          <w:rFonts w:asciiTheme="minorEastAsia" w:eastAsiaTheme="minorEastAsia" w:hAnsiTheme="minorEastAsia" w:hint="eastAsia"/>
          <w:b w:val="0"/>
          <w:snapToGrid w:val="0"/>
          <w:color w:val="auto"/>
          <w:sz w:val="28"/>
          <w:szCs w:val="28"/>
        </w:rPr>
        <w:t>竞买人应对标的活立木进行现场勘查，详细估算后在约定时间内，通过农交中心官网</w:t>
      </w:r>
      <w:r>
        <w:rPr>
          <w:rFonts w:asciiTheme="minorEastAsia" w:eastAsiaTheme="minorEastAsia" w:hAnsiTheme="minorEastAsia" w:hint="eastAsia"/>
          <w:b w:val="0"/>
          <w:snapToGrid w:val="0"/>
          <w:color w:val="auto"/>
          <w:sz w:val="28"/>
          <w:szCs w:val="28"/>
        </w:rPr>
        <w:t>https://nf.fncjys.cn/</w:t>
      </w:r>
      <w:r>
        <w:rPr>
          <w:rFonts w:asciiTheme="minorEastAsia" w:eastAsiaTheme="minorEastAsia" w:hAnsiTheme="minorEastAsia" w:hint="eastAsia"/>
          <w:b w:val="0"/>
          <w:snapToGrid w:val="0"/>
          <w:color w:val="auto"/>
          <w:sz w:val="28"/>
          <w:szCs w:val="28"/>
        </w:rPr>
        <w:t>的竞价大厅或个人中心</w:t>
      </w:r>
      <w:r>
        <w:rPr>
          <w:rFonts w:asciiTheme="minorEastAsia" w:eastAsiaTheme="minorEastAsia" w:hAnsiTheme="minorEastAsia" w:hint="eastAsia"/>
          <w:b w:val="0"/>
          <w:snapToGrid w:val="0"/>
          <w:color w:val="auto"/>
          <w:sz w:val="28"/>
          <w:szCs w:val="28"/>
        </w:rPr>
        <w:t>-</w:t>
      </w:r>
      <w:r>
        <w:rPr>
          <w:rFonts w:asciiTheme="minorEastAsia" w:eastAsiaTheme="minorEastAsia" w:hAnsiTheme="minorEastAsia" w:hint="eastAsia"/>
          <w:b w:val="0"/>
          <w:snapToGrid w:val="0"/>
          <w:color w:val="auto"/>
          <w:sz w:val="28"/>
          <w:szCs w:val="28"/>
        </w:rPr>
        <w:t>竞价大厅进入报价。</w:t>
      </w:r>
    </w:p>
    <w:p w:rsidR="00407FD3" w:rsidRDefault="00D17193">
      <w:pPr>
        <w:adjustRightInd w:val="0"/>
        <w:snapToGrid w:val="0"/>
        <w:spacing w:line="440" w:lineRule="exact"/>
        <w:ind w:firstLineChars="200" w:firstLine="562"/>
        <w:contextualSpacing/>
        <w:rPr>
          <w:rFonts w:asciiTheme="minorEastAsia" w:eastAsiaTheme="minorEastAsia" w:hAnsiTheme="minorEastAsia"/>
          <w:snapToGrid w:val="0"/>
          <w:color w:val="auto"/>
          <w:sz w:val="28"/>
          <w:szCs w:val="28"/>
        </w:rPr>
      </w:pPr>
      <w:r>
        <w:rPr>
          <w:rFonts w:asciiTheme="minorEastAsia" w:eastAsiaTheme="minorEastAsia" w:hAnsiTheme="minorEastAsia" w:hint="eastAsia"/>
          <w:snapToGrid w:val="0"/>
          <w:color w:val="auto"/>
          <w:sz w:val="28"/>
          <w:szCs w:val="28"/>
        </w:rPr>
        <w:t>四、合同签订</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snapToGrid w:val="0"/>
          <w:color w:val="auto"/>
          <w:sz w:val="28"/>
          <w:szCs w:val="28"/>
        </w:rPr>
        <w:t>（一）</w:t>
      </w:r>
      <w:r>
        <w:rPr>
          <w:rFonts w:asciiTheme="minorEastAsia" w:eastAsiaTheme="minorEastAsia" w:hAnsiTheme="minorEastAsia" w:hint="eastAsia"/>
          <w:b w:val="0"/>
          <w:snapToGrid w:val="0"/>
          <w:color w:val="auto"/>
          <w:sz w:val="28"/>
          <w:szCs w:val="28"/>
        </w:rPr>
        <w:t>成交后，买受人应于</w:t>
      </w:r>
      <w:r>
        <w:rPr>
          <w:rFonts w:asciiTheme="minorEastAsia" w:eastAsiaTheme="minorEastAsia" w:hAnsiTheme="minorEastAsia" w:hint="eastAsia"/>
          <w:b w:val="0"/>
          <w:snapToGrid w:val="0"/>
          <w:color w:val="FF0000"/>
          <w:sz w:val="28"/>
          <w:szCs w:val="28"/>
        </w:rPr>
        <w:t>2026</w:t>
      </w:r>
      <w:r>
        <w:rPr>
          <w:rFonts w:asciiTheme="minorEastAsia" w:eastAsiaTheme="minorEastAsia" w:hAnsiTheme="minorEastAsia" w:hint="eastAsia"/>
          <w:b w:val="0"/>
          <w:snapToGrid w:val="0"/>
          <w:color w:val="FF0000"/>
          <w:sz w:val="28"/>
          <w:szCs w:val="28"/>
        </w:rPr>
        <w:t>年</w:t>
      </w:r>
      <w:r>
        <w:rPr>
          <w:rFonts w:asciiTheme="minorEastAsia" w:eastAsiaTheme="minorEastAsia" w:hAnsiTheme="minorEastAsia" w:hint="eastAsia"/>
          <w:b w:val="0"/>
          <w:snapToGrid w:val="0"/>
          <w:color w:val="FF0000"/>
          <w:sz w:val="28"/>
          <w:szCs w:val="28"/>
        </w:rPr>
        <w:t>10</w:t>
      </w:r>
      <w:r>
        <w:rPr>
          <w:rFonts w:asciiTheme="minorEastAsia" w:eastAsiaTheme="minorEastAsia" w:hAnsiTheme="minorEastAsia" w:hint="eastAsia"/>
          <w:b w:val="0"/>
          <w:snapToGrid w:val="0"/>
          <w:color w:val="FF0000"/>
          <w:sz w:val="28"/>
          <w:szCs w:val="28"/>
        </w:rPr>
        <w:t>月</w:t>
      </w:r>
      <w:r>
        <w:rPr>
          <w:rFonts w:asciiTheme="minorEastAsia" w:eastAsiaTheme="minorEastAsia" w:hAnsiTheme="minorEastAsia" w:hint="eastAsia"/>
          <w:b w:val="0"/>
          <w:snapToGrid w:val="0"/>
          <w:color w:val="FF0000"/>
          <w:sz w:val="28"/>
          <w:szCs w:val="28"/>
        </w:rPr>
        <w:t>29</w:t>
      </w:r>
      <w:r>
        <w:rPr>
          <w:rFonts w:asciiTheme="minorEastAsia" w:eastAsiaTheme="minorEastAsia" w:hAnsiTheme="minorEastAsia" w:hint="eastAsia"/>
          <w:b w:val="0"/>
          <w:snapToGrid w:val="0"/>
          <w:color w:val="FF0000"/>
          <w:sz w:val="28"/>
          <w:szCs w:val="28"/>
        </w:rPr>
        <w:t>日</w:t>
      </w:r>
      <w:r>
        <w:rPr>
          <w:rFonts w:asciiTheme="minorEastAsia" w:eastAsiaTheme="minorEastAsia" w:hAnsiTheme="minorEastAsia" w:hint="eastAsia"/>
          <w:b w:val="0"/>
          <w:snapToGrid w:val="0"/>
          <w:color w:val="FF0000"/>
          <w:sz w:val="28"/>
          <w:szCs w:val="28"/>
        </w:rPr>
        <w:t>17:00</w:t>
      </w:r>
      <w:r>
        <w:rPr>
          <w:rFonts w:asciiTheme="minorEastAsia" w:eastAsiaTheme="minorEastAsia" w:hAnsiTheme="minorEastAsia" w:hint="eastAsia"/>
          <w:b w:val="0"/>
          <w:snapToGrid w:val="0"/>
          <w:color w:val="FF0000"/>
          <w:sz w:val="28"/>
          <w:szCs w:val="28"/>
        </w:rPr>
        <w:t>前</w:t>
      </w:r>
      <w:r>
        <w:rPr>
          <w:rFonts w:asciiTheme="minorEastAsia" w:eastAsiaTheme="minorEastAsia" w:hAnsiTheme="minorEastAsia" w:hint="eastAsia"/>
          <w:b w:val="0"/>
          <w:snapToGrid w:val="0"/>
          <w:color w:val="auto"/>
          <w:sz w:val="28"/>
          <w:szCs w:val="28"/>
        </w:rPr>
        <w:t>全额缴清成交价款（含交易保证金转为木材款部分），并签订</w:t>
      </w:r>
      <w:r>
        <w:rPr>
          <w:rFonts w:asciiTheme="minorEastAsia" w:eastAsiaTheme="minorEastAsia" w:hAnsiTheme="minorEastAsia"/>
          <w:b w:val="0"/>
          <w:snapToGrid w:val="0"/>
          <w:color w:val="auto"/>
          <w:sz w:val="28"/>
          <w:szCs w:val="28"/>
        </w:rPr>
        <w:t>《活立木转让合同》、《安全生产管理承诺书》、《</w:t>
      </w:r>
      <w:r>
        <w:rPr>
          <w:rFonts w:asciiTheme="minorEastAsia" w:eastAsiaTheme="minorEastAsia" w:hAnsiTheme="minorEastAsia" w:hint="eastAsia"/>
          <w:b w:val="0"/>
          <w:snapToGrid w:val="0"/>
          <w:color w:val="auto"/>
          <w:sz w:val="28"/>
          <w:szCs w:val="28"/>
        </w:rPr>
        <w:t>森林防火责任</w:t>
      </w:r>
      <w:r>
        <w:rPr>
          <w:rFonts w:asciiTheme="minorEastAsia" w:eastAsiaTheme="minorEastAsia" w:hAnsiTheme="minorEastAsia"/>
          <w:b w:val="0"/>
          <w:snapToGrid w:val="0"/>
          <w:color w:val="auto"/>
          <w:sz w:val="28"/>
          <w:szCs w:val="28"/>
        </w:rPr>
        <w:t>书》等</w:t>
      </w:r>
      <w:r>
        <w:rPr>
          <w:rFonts w:asciiTheme="minorEastAsia" w:eastAsiaTheme="minorEastAsia" w:hAnsiTheme="minorEastAsia" w:hint="eastAsia"/>
          <w:b w:val="0"/>
          <w:snapToGrid w:val="0"/>
          <w:color w:val="auto"/>
          <w:sz w:val="28"/>
          <w:szCs w:val="28"/>
        </w:rPr>
        <w:t>文件。买受人已交纳的交易保证金由农交中心转至转让方指定银行账户</w:t>
      </w:r>
      <w:r>
        <w:rPr>
          <w:rFonts w:asciiTheme="minorEastAsia" w:eastAsiaTheme="minorEastAsia" w:hAnsiTheme="minorEastAsia" w:hint="eastAsia"/>
          <w:b w:val="0"/>
          <w:snapToGrid w:val="0"/>
          <w:color w:val="auto"/>
          <w:sz w:val="28"/>
          <w:szCs w:val="28"/>
        </w:rPr>
        <w:t>,</w:t>
      </w:r>
      <w:r>
        <w:rPr>
          <w:rFonts w:asciiTheme="minorEastAsia" w:eastAsiaTheme="minorEastAsia" w:hAnsiTheme="minorEastAsia" w:hint="eastAsia"/>
          <w:b w:val="0"/>
          <w:snapToGrid w:val="0"/>
          <w:color w:val="auto"/>
          <w:sz w:val="28"/>
          <w:szCs w:val="28"/>
        </w:rPr>
        <w:t>其中</w:t>
      </w:r>
      <w:r>
        <w:rPr>
          <w:rFonts w:asciiTheme="minorEastAsia" w:eastAsiaTheme="minorEastAsia" w:hAnsiTheme="minorEastAsia" w:hint="eastAsia"/>
          <w:b w:val="0"/>
          <w:snapToGrid w:val="0"/>
          <w:color w:val="auto"/>
          <w:sz w:val="28"/>
          <w:szCs w:val="28"/>
        </w:rPr>
        <w:t>5</w:t>
      </w:r>
      <w:r>
        <w:rPr>
          <w:rFonts w:asciiTheme="minorEastAsia" w:eastAsiaTheme="minorEastAsia" w:hAnsiTheme="minorEastAsia" w:hint="eastAsia"/>
          <w:b w:val="0"/>
          <w:snapToGrid w:val="0"/>
          <w:color w:val="auto"/>
          <w:sz w:val="28"/>
          <w:szCs w:val="28"/>
        </w:rPr>
        <w:t>万元作为活立木转让履约保证金</w:t>
      </w:r>
      <w:r>
        <w:rPr>
          <w:rFonts w:asciiTheme="minorEastAsia" w:eastAsiaTheme="minorEastAsia" w:hAnsiTheme="minorEastAsia" w:hint="eastAsia"/>
          <w:b w:val="0"/>
          <w:snapToGrid w:val="0"/>
          <w:color w:val="auto"/>
          <w:sz w:val="28"/>
          <w:szCs w:val="28"/>
        </w:rPr>
        <w:t>,</w:t>
      </w:r>
      <w:r>
        <w:rPr>
          <w:rFonts w:asciiTheme="minorEastAsia" w:eastAsiaTheme="minorEastAsia" w:hAnsiTheme="minorEastAsia" w:hint="eastAsia"/>
          <w:b w:val="0"/>
          <w:snapToGrid w:val="0"/>
          <w:color w:val="auto"/>
          <w:sz w:val="28"/>
          <w:szCs w:val="28"/>
        </w:rPr>
        <w:t>剩余</w:t>
      </w:r>
      <w:r>
        <w:rPr>
          <w:rFonts w:asciiTheme="minorEastAsia" w:eastAsiaTheme="minorEastAsia" w:hAnsiTheme="minorEastAsia" w:hint="eastAsia"/>
          <w:b w:val="0"/>
          <w:snapToGrid w:val="0"/>
          <w:color w:val="auto"/>
          <w:sz w:val="28"/>
          <w:szCs w:val="28"/>
        </w:rPr>
        <w:t>10</w:t>
      </w:r>
      <w:bookmarkStart w:id="0" w:name="_GoBack"/>
      <w:bookmarkEnd w:id="0"/>
      <w:r>
        <w:rPr>
          <w:rFonts w:asciiTheme="minorEastAsia" w:eastAsiaTheme="minorEastAsia" w:hAnsiTheme="minorEastAsia" w:hint="eastAsia"/>
          <w:b w:val="0"/>
          <w:snapToGrid w:val="0"/>
          <w:color w:val="auto"/>
          <w:sz w:val="28"/>
          <w:szCs w:val="28"/>
        </w:rPr>
        <w:t>万元充抵活立木转让成交木材款。买受人不得转让成交标的。</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snapToGrid w:val="0"/>
          <w:color w:val="auto"/>
          <w:sz w:val="28"/>
          <w:szCs w:val="28"/>
        </w:rPr>
        <w:t>（二）</w:t>
      </w:r>
      <w:r>
        <w:rPr>
          <w:rFonts w:asciiTheme="minorEastAsia" w:eastAsiaTheme="minorEastAsia" w:hAnsiTheme="minorEastAsia" w:hint="eastAsia"/>
          <w:b w:val="0"/>
          <w:snapToGrid w:val="0"/>
          <w:color w:val="auto"/>
          <w:sz w:val="28"/>
          <w:szCs w:val="28"/>
        </w:rPr>
        <w:t>签订合同时，买受人须携带下列材料：</w:t>
      </w:r>
      <w:r w:rsidR="00407FD3">
        <w:rPr>
          <w:rFonts w:asciiTheme="minorEastAsia" w:eastAsiaTheme="minorEastAsia" w:hAnsiTheme="minorEastAsia"/>
          <w:b w:val="0"/>
          <w:snapToGrid w:val="0"/>
          <w:color w:val="auto"/>
          <w:sz w:val="28"/>
          <w:szCs w:val="28"/>
        </w:rPr>
        <w:fldChar w:fldCharType="begin"/>
      </w:r>
      <w:r>
        <w:rPr>
          <w:rFonts w:asciiTheme="minorEastAsia" w:eastAsiaTheme="minorEastAsia" w:hAnsiTheme="minorEastAsia"/>
          <w:b w:val="0"/>
          <w:snapToGrid w:val="0"/>
          <w:color w:val="auto"/>
          <w:sz w:val="28"/>
          <w:szCs w:val="28"/>
        </w:rPr>
        <w:instrText xml:space="preserve"> </w:instrText>
      </w:r>
      <w:r>
        <w:rPr>
          <w:rFonts w:asciiTheme="minorEastAsia" w:eastAsiaTheme="minorEastAsia" w:hAnsiTheme="minorEastAsia" w:hint="eastAsia"/>
          <w:b w:val="0"/>
          <w:snapToGrid w:val="0"/>
          <w:color w:val="auto"/>
          <w:sz w:val="28"/>
          <w:szCs w:val="28"/>
        </w:rPr>
        <w:instrText>= 1 \* GB3</w:instrText>
      </w:r>
      <w:r>
        <w:rPr>
          <w:rFonts w:asciiTheme="minorEastAsia" w:eastAsiaTheme="minorEastAsia" w:hAnsiTheme="minorEastAsia"/>
          <w:b w:val="0"/>
          <w:snapToGrid w:val="0"/>
          <w:color w:val="auto"/>
          <w:sz w:val="28"/>
          <w:szCs w:val="28"/>
        </w:rPr>
        <w:instrText xml:space="preserve"> </w:instrText>
      </w:r>
      <w:r w:rsidR="00407FD3">
        <w:rPr>
          <w:rFonts w:asciiTheme="minorEastAsia" w:eastAsiaTheme="minorEastAsia" w:hAnsiTheme="minorEastAsia"/>
          <w:b w:val="0"/>
          <w:snapToGrid w:val="0"/>
          <w:color w:val="auto"/>
          <w:sz w:val="28"/>
          <w:szCs w:val="28"/>
        </w:rPr>
        <w:fldChar w:fldCharType="separate"/>
      </w:r>
      <w:r>
        <w:rPr>
          <w:rFonts w:asciiTheme="minorEastAsia" w:eastAsiaTheme="minorEastAsia" w:hAnsiTheme="minorEastAsia" w:hint="eastAsia"/>
          <w:b w:val="0"/>
          <w:snapToGrid w:val="0"/>
          <w:color w:val="auto"/>
          <w:sz w:val="28"/>
          <w:szCs w:val="28"/>
        </w:rPr>
        <w:t>①</w:t>
      </w:r>
      <w:r w:rsidR="00407FD3">
        <w:rPr>
          <w:rFonts w:asciiTheme="minorEastAsia" w:eastAsiaTheme="minorEastAsia" w:hAnsiTheme="minorEastAsia"/>
          <w:b w:val="0"/>
          <w:snapToGrid w:val="0"/>
          <w:color w:val="auto"/>
          <w:sz w:val="28"/>
          <w:szCs w:val="28"/>
        </w:rPr>
        <w:fldChar w:fldCharType="end"/>
      </w:r>
      <w:r>
        <w:rPr>
          <w:rFonts w:asciiTheme="minorEastAsia" w:eastAsiaTheme="minorEastAsia" w:hAnsiTheme="minorEastAsia" w:hint="eastAsia"/>
          <w:b w:val="0"/>
          <w:snapToGrid w:val="0"/>
          <w:color w:val="auto"/>
          <w:sz w:val="28"/>
          <w:szCs w:val="28"/>
        </w:rPr>
        <w:t>买受人为法人的：企业法人公章、营业执照、银行开户许可证、法定代表人居民身份证等有效原件和盖有公章的复印件；</w:t>
      </w:r>
      <w:r w:rsidR="00407FD3">
        <w:rPr>
          <w:rFonts w:asciiTheme="minorEastAsia" w:eastAsiaTheme="minorEastAsia" w:hAnsiTheme="minorEastAsia"/>
          <w:b w:val="0"/>
          <w:snapToGrid w:val="0"/>
          <w:color w:val="auto"/>
          <w:sz w:val="28"/>
          <w:szCs w:val="28"/>
        </w:rPr>
        <w:fldChar w:fldCharType="begin"/>
      </w:r>
      <w:r>
        <w:rPr>
          <w:rFonts w:asciiTheme="minorEastAsia" w:eastAsiaTheme="minorEastAsia" w:hAnsiTheme="minorEastAsia"/>
          <w:b w:val="0"/>
          <w:snapToGrid w:val="0"/>
          <w:color w:val="auto"/>
          <w:sz w:val="28"/>
          <w:szCs w:val="28"/>
        </w:rPr>
        <w:instrText xml:space="preserve"> </w:instrText>
      </w:r>
      <w:r>
        <w:rPr>
          <w:rFonts w:asciiTheme="minorEastAsia" w:eastAsiaTheme="minorEastAsia" w:hAnsiTheme="minorEastAsia" w:hint="eastAsia"/>
          <w:b w:val="0"/>
          <w:snapToGrid w:val="0"/>
          <w:color w:val="auto"/>
          <w:sz w:val="28"/>
          <w:szCs w:val="28"/>
        </w:rPr>
        <w:instrText>= 2 \* GB3</w:instrText>
      </w:r>
      <w:r>
        <w:rPr>
          <w:rFonts w:asciiTheme="minorEastAsia" w:eastAsiaTheme="minorEastAsia" w:hAnsiTheme="minorEastAsia"/>
          <w:b w:val="0"/>
          <w:snapToGrid w:val="0"/>
          <w:color w:val="auto"/>
          <w:sz w:val="28"/>
          <w:szCs w:val="28"/>
        </w:rPr>
        <w:instrText xml:space="preserve"> </w:instrText>
      </w:r>
      <w:r w:rsidR="00407FD3">
        <w:rPr>
          <w:rFonts w:asciiTheme="minorEastAsia" w:eastAsiaTheme="minorEastAsia" w:hAnsiTheme="minorEastAsia"/>
          <w:b w:val="0"/>
          <w:snapToGrid w:val="0"/>
          <w:color w:val="auto"/>
          <w:sz w:val="28"/>
          <w:szCs w:val="28"/>
        </w:rPr>
        <w:fldChar w:fldCharType="separate"/>
      </w:r>
      <w:r>
        <w:rPr>
          <w:rFonts w:asciiTheme="minorEastAsia" w:eastAsiaTheme="minorEastAsia" w:hAnsiTheme="minorEastAsia" w:hint="eastAsia"/>
          <w:b w:val="0"/>
          <w:snapToGrid w:val="0"/>
          <w:color w:val="auto"/>
          <w:sz w:val="28"/>
          <w:szCs w:val="28"/>
        </w:rPr>
        <w:t>②</w:t>
      </w:r>
      <w:r w:rsidR="00407FD3">
        <w:rPr>
          <w:rFonts w:asciiTheme="minorEastAsia" w:eastAsiaTheme="minorEastAsia" w:hAnsiTheme="minorEastAsia"/>
          <w:b w:val="0"/>
          <w:snapToGrid w:val="0"/>
          <w:color w:val="auto"/>
          <w:sz w:val="28"/>
          <w:szCs w:val="28"/>
        </w:rPr>
        <w:fldChar w:fldCharType="end"/>
      </w:r>
      <w:r>
        <w:rPr>
          <w:rFonts w:asciiTheme="minorEastAsia" w:eastAsiaTheme="minorEastAsia" w:hAnsiTheme="minorEastAsia" w:hint="eastAsia"/>
          <w:b w:val="0"/>
          <w:snapToGrid w:val="0"/>
          <w:color w:val="auto"/>
          <w:sz w:val="28"/>
          <w:szCs w:val="28"/>
        </w:rPr>
        <w:t>买受人为自然人的：买受人的居民身份证有效原件和复印件；</w:t>
      </w:r>
      <w:r w:rsidR="00407FD3">
        <w:rPr>
          <w:rFonts w:asciiTheme="minorEastAsia" w:eastAsiaTheme="minorEastAsia" w:hAnsiTheme="minorEastAsia"/>
          <w:b w:val="0"/>
          <w:snapToGrid w:val="0"/>
          <w:color w:val="auto"/>
          <w:sz w:val="28"/>
          <w:szCs w:val="28"/>
        </w:rPr>
        <w:fldChar w:fldCharType="begin"/>
      </w:r>
      <w:r>
        <w:rPr>
          <w:rFonts w:asciiTheme="minorEastAsia" w:eastAsiaTheme="minorEastAsia" w:hAnsiTheme="minorEastAsia"/>
          <w:b w:val="0"/>
          <w:snapToGrid w:val="0"/>
          <w:color w:val="auto"/>
          <w:sz w:val="28"/>
          <w:szCs w:val="28"/>
        </w:rPr>
        <w:instrText xml:space="preserve"> </w:instrText>
      </w:r>
      <w:r>
        <w:rPr>
          <w:rFonts w:asciiTheme="minorEastAsia" w:eastAsiaTheme="minorEastAsia" w:hAnsiTheme="minorEastAsia" w:hint="eastAsia"/>
          <w:b w:val="0"/>
          <w:snapToGrid w:val="0"/>
          <w:color w:val="auto"/>
          <w:sz w:val="28"/>
          <w:szCs w:val="28"/>
        </w:rPr>
        <w:instrText>= 3 \* GB3</w:instrText>
      </w:r>
      <w:r>
        <w:rPr>
          <w:rFonts w:asciiTheme="minorEastAsia" w:eastAsiaTheme="minorEastAsia" w:hAnsiTheme="minorEastAsia"/>
          <w:b w:val="0"/>
          <w:snapToGrid w:val="0"/>
          <w:color w:val="auto"/>
          <w:sz w:val="28"/>
          <w:szCs w:val="28"/>
        </w:rPr>
        <w:instrText xml:space="preserve"> </w:instrText>
      </w:r>
      <w:r w:rsidR="00407FD3">
        <w:rPr>
          <w:rFonts w:asciiTheme="minorEastAsia" w:eastAsiaTheme="minorEastAsia" w:hAnsiTheme="minorEastAsia"/>
          <w:b w:val="0"/>
          <w:snapToGrid w:val="0"/>
          <w:color w:val="auto"/>
          <w:sz w:val="28"/>
          <w:szCs w:val="28"/>
        </w:rPr>
        <w:fldChar w:fldCharType="separate"/>
      </w:r>
      <w:r>
        <w:rPr>
          <w:rFonts w:asciiTheme="minorEastAsia" w:eastAsiaTheme="minorEastAsia" w:hAnsiTheme="minorEastAsia" w:hint="eastAsia"/>
          <w:b w:val="0"/>
          <w:snapToGrid w:val="0"/>
          <w:color w:val="auto"/>
          <w:sz w:val="28"/>
          <w:szCs w:val="28"/>
        </w:rPr>
        <w:t>③</w:t>
      </w:r>
      <w:r w:rsidR="00407FD3">
        <w:rPr>
          <w:rFonts w:asciiTheme="minorEastAsia" w:eastAsiaTheme="minorEastAsia" w:hAnsiTheme="minorEastAsia"/>
          <w:b w:val="0"/>
          <w:snapToGrid w:val="0"/>
          <w:color w:val="auto"/>
          <w:sz w:val="28"/>
          <w:szCs w:val="28"/>
        </w:rPr>
        <w:fldChar w:fldCharType="end"/>
      </w:r>
      <w:r>
        <w:rPr>
          <w:rFonts w:asciiTheme="minorEastAsia" w:eastAsiaTheme="minorEastAsia" w:hAnsiTheme="minorEastAsia" w:hint="eastAsia"/>
          <w:b w:val="0"/>
          <w:snapToGrid w:val="0"/>
          <w:color w:val="auto"/>
          <w:sz w:val="28"/>
          <w:szCs w:val="28"/>
        </w:rPr>
        <w:t>买受人为非法人组织的：组织公章、营业执照、银行开户许可证、出资人居民身份证等有效原件和盖有公章的复印件。</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snapToGrid w:val="0"/>
          <w:color w:val="auto"/>
          <w:sz w:val="28"/>
          <w:szCs w:val="28"/>
        </w:rPr>
        <w:t>（三）</w:t>
      </w:r>
      <w:r>
        <w:rPr>
          <w:rFonts w:asciiTheme="minorEastAsia" w:eastAsiaTheme="minorEastAsia" w:hAnsiTheme="minorEastAsia" w:hint="eastAsia"/>
          <w:b w:val="0"/>
          <w:snapToGrid w:val="0"/>
          <w:color w:val="auto"/>
          <w:sz w:val="28"/>
          <w:szCs w:val="28"/>
        </w:rPr>
        <w:t>买受人违反上述两项约定中的任何一项，视为违约并自动放弃</w:t>
      </w:r>
      <w:r>
        <w:rPr>
          <w:rFonts w:asciiTheme="minorEastAsia" w:eastAsiaTheme="minorEastAsia" w:hAnsiTheme="minorEastAsia" w:hint="eastAsia"/>
          <w:b w:val="0"/>
          <w:bCs/>
          <w:snapToGrid w:val="0"/>
          <w:color w:val="auto"/>
          <w:sz w:val="28"/>
          <w:szCs w:val="28"/>
        </w:rPr>
        <w:t>受让资格，转</w:t>
      </w:r>
      <w:r>
        <w:rPr>
          <w:rFonts w:asciiTheme="minorEastAsia" w:eastAsiaTheme="minorEastAsia" w:hAnsiTheme="minorEastAsia" w:hint="eastAsia"/>
          <w:b w:val="0"/>
          <w:snapToGrid w:val="0"/>
          <w:color w:val="auto"/>
          <w:sz w:val="28"/>
          <w:szCs w:val="28"/>
        </w:rPr>
        <w:t>让方有权没收买受人的</w:t>
      </w:r>
      <w:r>
        <w:rPr>
          <w:rFonts w:asciiTheme="minorEastAsia" w:eastAsiaTheme="minorEastAsia" w:hAnsiTheme="minorEastAsia" w:hint="eastAsia"/>
          <w:b w:val="0"/>
          <w:bCs/>
          <w:snapToGrid w:val="0"/>
          <w:color w:val="auto"/>
          <w:sz w:val="28"/>
          <w:szCs w:val="28"/>
        </w:rPr>
        <w:t>交易保证金。</w:t>
      </w:r>
    </w:p>
    <w:p w:rsidR="00407FD3" w:rsidRDefault="00D17193">
      <w:pPr>
        <w:adjustRightInd w:val="0"/>
        <w:snapToGrid w:val="0"/>
        <w:spacing w:line="440" w:lineRule="exact"/>
        <w:ind w:firstLineChars="200" w:firstLine="562"/>
        <w:contextualSpacing/>
        <w:rPr>
          <w:rFonts w:asciiTheme="minorEastAsia" w:eastAsiaTheme="minorEastAsia" w:hAnsiTheme="minorEastAsia"/>
          <w:snapToGrid w:val="0"/>
          <w:color w:val="auto"/>
          <w:sz w:val="28"/>
          <w:szCs w:val="28"/>
        </w:rPr>
      </w:pPr>
      <w:r>
        <w:rPr>
          <w:rFonts w:asciiTheme="minorEastAsia" w:eastAsiaTheme="minorEastAsia" w:hAnsiTheme="minorEastAsia" w:hint="eastAsia"/>
          <w:snapToGrid w:val="0"/>
          <w:color w:val="auto"/>
          <w:sz w:val="28"/>
          <w:szCs w:val="28"/>
        </w:rPr>
        <w:t>五、活立木拨交</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bCs/>
          <w:snapToGrid w:val="0"/>
          <w:color w:val="auto"/>
          <w:sz w:val="28"/>
          <w:szCs w:val="28"/>
        </w:rPr>
      </w:pPr>
      <w:r>
        <w:rPr>
          <w:rFonts w:asciiTheme="minorEastAsia" w:eastAsiaTheme="minorEastAsia" w:hAnsiTheme="minorEastAsia" w:hint="eastAsia"/>
          <w:snapToGrid w:val="0"/>
          <w:color w:val="auto"/>
          <w:sz w:val="28"/>
          <w:szCs w:val="28"/>
        </w:rPr>
        <w:t>（一）</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pacing w:val="-2"/>
          <w:sz w:val="28"/>
          <w:szCs w:val="28"/>
        </w:rPr>
        <w:t>向转让方缴纳</w:t>
      </w:r>
      <w:r>
        <w:rPr>
          <w:rFonts w:asciiTheme="minorEastAsia" w:eastAsiaTheme="minorEastAsia" w:hAnsiTheme="minorEastAsia" w:hint="eastAsia"/>
          <w:b w:val="0"/>
          <w:snapToGrid w:val="0"/>
          <w:color w:val="auto"/>
          <w:spacing w:val="-2"/>
          <w:sz w:val="28"/>
          <w:szCs w:val="28"/>
        </w:rPr>
        <w:t>全额活立木转让成交木材款并签订</w:t>
      </w:r>
      <w:r>
        <w:rPr>
          <w:rFonts w:asciiTheme="minorEastAsia" w:eastAsiaTheme="minorEastAsia" w:hAnsiTheme="minorEastAsia"/>
          <w:b w:val="0"/>
          <w:snapToGrid w:val="0"/>
          <w:color w:val="auto"/>
          <w:spacing w:val="-2"/>
          <w:sz w:val="28"/>
          <w:szCs w:val="28"/>
        </w:rPr>
        <w:t>《活立木转让合同》、《安全生产管理承诺书》、《</w:t>
      </w:r>
      <w:r>
        <w:rPr>
          <w:rFonts w:asciiTheme="minorEastAsia" w:eastAsiaTheme="minorEastAsia" w:hAnsiTheme="minorEastAsia" w:hint="eastAsia"/>
          <w:b w:val="0"/>
          <w:snapToGrid w:val="0"/>
          <w:color w:val="auto"/>
          <w:spacing w:val="-2"/>
          <w:sz w:val="28"/>
          <w:szCs w:val="28"/>
        </w:rPr>
        <w:t>森林防火责任</w:t>
      </w:r>
      <w:r>
        <w:rPr>
          <w:rFonts w:asciiTheme="minorEastAsia" w:eastAsiaTheme="minorEastAsia" w:hAnsiTheme="minorEastAsia"/>
          <w:b w:val="0"/>
          <w:snapToGrid w:val="0"/>
          <w:color w:val="auto"/>
          <w:spacing w:val="-2"/>
          <w:sz w:val="28"/>
          <w:szCs w:val="28"/>
        </w:rPr>
        <w:t>书》等</w:t>
      </w:r>
      <w:r>
        <w:rPr>
          <w:rFonts w:asciiTheme="minorEastAsia" w:eastAsiaTheme="minorEastAsia" w:hAnsiTheme="minorEastAsia" w:hint="eastAsia"/>
          <w:b w:val="0"/>
          <w:snapToGrid w:val="0"/>
          <w:color w:val="auto"/>
          <w:spacing w:val="-2"/>
          <w:sz w:val="28"/>
          <w:szCs w:val="28"/>
        </w:rPr>
        <w:t>文件后</w:t>
      </w:r>
      <w:r>
        <w:rPr>
          <w:rFonts w:asciiTheme="minorEastAsia" w:eastAsiaTheme="minorEastAsia" w:hAnsiTheme="minorEastAsia" w:hint="eastAsia"/>
          <w:b w:val="0"/>
          <w:bCs/>
          <w:snapToGrid w:val="0"/>
          <w:color w:val="auto"/>
          <w:spacing w:val="-2"/>
          <w:sz w:val="28"/>
          <w:szCs w:val="28"/>
        </w:rPr>
        <w:t>，转让方将活立木所有权和使用权拨交给</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pacing w:val="-2"/>
          <w:sz w:val="28"/>
          <w:szCs w:val="28"/>
        </w:rPr>
        <w:t>，同时向</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pacing w:val="-2"/>
          <w:sz w:val="28"/>
          <w:szCs w:val="28"/>
        </w:rPr>
        <w:t>交付《林木采伐许可证》。</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pacing w:val="-2"/>
          <w:sz w:val="28"/>
          <w:szCs w:val="28"/>
        </w:rPr>
        <w:t>需会同转让方对标的活立木位置、周界（以标的边界标号木为准）等进一步确认，在取得转让方活立木所有权和使用权拨交手续，并获取《林木采伐许可证》后方可进行生产经营。转让方将活立木所有权和使用权拨交给</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pacing w:val="-2"/>
          <w:sz w:val="28"/>
          <w:szCs w:val="28"/>
        </w:rPr>
        <w:t>后，活立木的灭失、毁损、盗伐等风险均由</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pacing w:val="-2"/>
          <w:sz w:val="28"/>
          <w:szCs w:val="28"/>
        </w:rPr>
        <w:t>承担。活立木拨交后，活立木的所有权遂转移至</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pacing w:val="-2"/>
          <w:sz w:val="28"/>
          <w:szCs w:val="28"/>
        </w:rPr>
        <w:t>，但是</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pacing w:val="-2"/>
          <w:sz w:val="28"/>
          <w:szCs w:val="28"/>
        </w:rPr>
        <w:t>逾期未采伐的，遗留山场的活立木及伐倒木仍然归转让方所有。</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bCs/>
          <w:snapToGrid w:val="0"/>
          <w:color w:val="auto"/>
          <w:spacing w:val="-4"/>
          <w:sz w:val="28"/>
          <w:szCs w:val="28"/>
        </w:rPr>
      </w:pPr>
      <w:r>
        <w:rPr>
          <w:rFonts w:asciiTheme="minorEastAsia" w:eastAsiaTheme="minorEastAsia" w:hAnsiTheme="minorEastAsia" w:hint="eastAsia"/>
          <w:snapToGrid w:val="0"/>
          <w:color w:val="auto"/>
          <w:sz w:val="28"/>
          <w:szCs w:val="28"/>
        </w:rPr>
        <w:t>（二）买受人</w:t>
      </w:r>
      <w:r>
        <w:rPr>
          <w:rFonts w:asciiTheme="minorEastAsia" w:eastAsiaTheme="minorEastAsia" w:hAnsiTheme="minorEastAsia" w:hint="eastAsia"/>
          <w:bCs/>
          <w:snapToGrid w:val="0"/>
          <w:color w:val="auto"/>
          <w:spacing w:val="-4"/>
          <w:sz w:val="28"/>
          <w:szCs w:val="28"/>
        </w:rPr>
        <w:t>必须在</w:t>
      </w:r>
      <w:r>
        <w:rPr>
          <w:rFonts w:asciiTheme="minorEastAsia" w:eastAsiaTheme="minorEastAsia" w:hAnsiTheme="minorEastAsia" w:hint="eastAsia"/>
          <w:bCs/>
          <w:snapToGrid w:val="0"/>
          <w:color w:val="auto"/>
          <w:spacing w:val="-4"/>
          <w:sz w:val="28"/>
          <w:szCs w:val="28"/>
        </w:rPr>
        <w:t>2026</w:t>
      </w:r>
      <w:r>
        <w:rPr>
          <w:rFonts w:asciiTheme="minorEastAsia" w:eastAsiaTheme="minorEastAsia" w:hAnsiTheme="minorEastAsia" w:hint="eastAsia"/>
          <w:bCs/>
          <w:snapToGrid w:val="0"/>
          <w:color w:val="auto"/>
          <w:spacing w:val="-4"/>
          <w:sz w:val="28"/>
          <w:szCs w:val="28"/>
        </w:rPr>
        <w:t>年</w:t>
      </w:r>
      <w:r>
        <w:rPr>
          <w:rFonts w:asciiTheme="minorEastAsia" w:eastAsiaTheme="minorEastAsia" w:hAnsiTheme="minorEastAsia" w:hint="eastAsia"/>
          <w:bCs/>
          <w:snapToGrid w:val="0"/>
          <w:color w:val="auto"/>
          <w:spacing w:val="-4"/>
          <w:sz w:val="28"/>
          <w:szCs w:val="28"/>
        </w:rPr>
        <w:t>12</w:t>
      </w:r>
      <w:r>
        <w:rPr>
          <w:rFonts w:asciiTheme="minorEastAsia" w:eastAsiaTheme="minorEastAsia" w:hAnsiTheme="minorEastAsia" w:hint="eastAsia"/>
          <w:bCs/>
          <w:snapToGrid w:val="0"/>
          <w:color w:val="auto"/>
          <w:spacing w:val="-4"/>
          <w:sz w:val="28"/>
          <w:szCs w:val="28"/>
        </w:rPr>
        <w:t>月</w:t>
      </w:r>
      <w:r>
        <w:rPr>
          <w:rFonts w:asciiTheme="minorEastAsia" w:eastAsiaTheme="minorEastAsia" w:hAnsiTheme="minorEastAsia" w:hint="eastAsia"/>
          <w:bCs/>
          <w:snapToGrid w:val="0"/>
          <w:color w:val="auto"/>
          <w:spacing w:val="-4"/>
          <w:sz w:val="28"/>
          <w:szCs w:val="28"/>
        </w:rPr>
        <w:t>20</w:t>
      </w:r>
      <w:r>
        <w:rPr>
          <w:rFonts w:asciiTheme="minorEastAsia" w:eastAsiaTheme="minorEastAsia" w:hAnsiTheme="minorEastAsia" w:hint="eastAsia"/>
          <w:bCs/>
          <w:snapToGrid w:val="0"/>
          <w:color w:val="auto"/>
          <w:spacing w:val="-4"/>
          <w:sz w:val="28"/>
          <w:szCs w:val="28"/>
        </w:rPr>
        <w:t>日前完成伐区约定林木采伐，</w:t>
      </w:r>
      <w:r>
        <w:rPr>
          <w:rFonts w:asciiTheme="minorEastAsia" w:eastAsiaTheme="minorEastAsia" w:hAnsiTheme="minorEastAsia" w:hint="eastAsia"/>
          <w:bCs/>
          <w:snapToGrid w:val="0"/>
          <w:color w:val="auto"/>
          <w:spacing w:val="-4"/>
          <w:sz w:val="28"/>
          <w:szCs w:val="28"/>
        </w:rPr>
        <w:lastRenderedPageBreak/>
        <w:t>并于</w:t>
      </w:r>
      <w:r>
        <w:rPr>
          <w:rFonts w:asciiTheme="minorEastAsia" w:eastAsiaTheme="minorEastAsia" w:hAnsiTheme="minorEastAsia" w:hint="eastAsia"/>
          <w:bCs/>
          <w:snapToGrid w:val="0"/>
          <w:color w:val="auto"/>
          <w:spacing w:val="-4"/>
          <w:sz w:val="28"/>
          <w:szCs w:val="28"/>
        </w:rPr>
        <w:t>2026</w:t>
      </w:r>
      <w:r>
        <w:rPr>
          <w:rFonts w:asciiTheme="minorEastAsia" w:eastAsiaTheme="minorEastAsia" w:hAnsiTheme="minorEastAsia" w:hint="eastAsia"/>
          <w:bCs/>
          <w:snapToGrid w:val="0"/>
          <w:color w:val="auto"/>
          <w:spacing w:val="-4"/>
          <w:sz w:val="28"/>
          <w:szCs w:val="28"/>
        </w:rPr>
        <w:t>年</w:t>
      </w:r>
      <w:r>
        <w:rPr>
          <w:rFonts w:asciiTheme="minorEastAsia" w:eastAsiaTheme="minorEastAsia" w:hAnsiTheme="minorEastAsia" w:hint="eastAsia"/>
          <w:bCs/>
          <w:snapToGrid w:val="0"/>
          <w:color w:val="auto"/>
          <w:spacing w:val="-4"/>
          <w:sz w:val="28"/>
          <w:szCs w:val="28"/>
        </w:rPr>
        <w:t>12</w:t>
      </w:r>
      <w:r>
        <w:rPr>
          <w:rFonts w:asciiTheme="minorEastAsia" w:eastAsiaTheme="minorEastAsia" w:hAnsiTheme="minorEastAsia" w:hint="eastAsia"/>
          <w:bCs/>
          <w:snapToGrid w:val="0"/>
          <w:color w:val="auto"/>
          <w:spacing w:val="-4"/>
          <w:sz w:val="28"/>
          <w:szCs w:val="28"/>
        </w:rPr>
        <w:t>月</w:t>
      </w:r>
      <w:r>
        <w:rPr>
          <w:rFonts w:asciiTheme="minorEastAsia" w:eastAsiaTheme="minorEastAsia" w:hAnsiTheme="minorEastAsia" w:hint="eastAsia"/>
          <w:bCs/>
          <w:snapToGrid w:val="0"/>
          <w:color w:val="auto"/>
          <w:spacing w:val="-4"/>
          <w:sz w:val="28"/>
          <w:szCs w:val="28"/>
        </w:rPr>
        <w:t>31</w:t>
      </w:r>
      <w:r>
        <w:rPr>
          <w:rFonts w:asciiTheme="minorEastAsia" w:eastAsiaTheme="minorEastAsia" w:hAnsiTheme="minorEastAsia" w:hint="eastAsia"/>
          <w:bCs/>
          <w:snapToGrid w:val="0"/>
          <w:color w:val="auto"/>
          <w:spacing w:val="-4"/>
          <w:sz w:val="28"/>
          <w:szCs w:val="28"/>
        </w:rPr>
        <w:t>日前按伐区作业质量要求完成伐区清理，并经验收合格后返还给转让方。</w:t>
      </w:r>
      <w:r>
        <w:rPr>
          <w:rFonts w:asciiTheme="minorEastAsia" w:eastAsiaTheme="minorEastAsia" w:hAnsiTheme="minorEastAsia" w:hint="eastAsia"/>
          <w:b w:val="0"/>
          <w:bCs/>
          <w:snapToGrid w:val="0"/>
          <w:color w:val="auto"/>
          <w:spacing w:val="-4"/>
          <w:sz w:val="28"/>
          <w:szCs w:val="28"/>
        </w:rPr>
        <w:t>松类林木的采伐、运输、销售必须按照松材线虫病疫木采伐、运输、销售的有关规定和清流县森防部门的规定执行。</w:t>
      </w:r>
    </w:p>
    <w:p w:rsidR="00407FD3" w:rsidRDefault="00D17193">
      <w:pPr>
        <w:adjustRightInd w:val="0"/>
        <w:snapToGrid w:val="0"/>
        <w:spacing w:line="440" w:lineRule="exact"/>
        <w:ind w:firstLineChars="200" w:firstLine="562"/>
        <w:contextualSpacing/>
        <w:rPr>
          <w:rFonts w:asciiTheme="minorEastAsia" w:eastAsiaTheme="minorEastAsia" w:hAnsiTheme="minorEastAsia"/>
          <w:bCs/>
          <w:snapToGrid w:val="0"/>
          <w:color w:val="auto"/>
          <w:sz w:val="28"/>
          <w:szCs w:val="28"/>
        </w:rPr>
      </w:pPr>
      <w:r>
        <w:rPr>
          <w:rFonts w:asciiTheme="minorEastAsia" w:eastAsiaTheme="minorEastAsia" w:hAnsiTheme="minorEastAsia" w:hint="eastAsia"/>
          <w:snapToGrid w:val="0"/>
          <w:color w:val="auto"/>
          <w:sz w:val="28"/>
          <w:szCs w:val="28"/>
        </w:rPr>
        <w:t>六</w:t>
      </w:r>
      <w:r>
        <w:rPr>
          <w:rFonts w:asciiTheme="minorEastAsia" w:eastAsiaTheme="minorEastAsia" w:hAnsiTheme="minorEastAsia" w:hint="eastAsia"/>
          <w:bCs/>
          <w:snapToGrid w:val="0"/>
          <w:color w:val="auto"/>
          <w:sz w:val="28"/>
          <w:szCs w:val="28"/>
        </w:rPr>
        <w:t>、转让方和</w:t>
      </w:r>
      <w:r>
        <w:rPr>
          <w:rFonts w:asciiTheme="minorEastAsia" w:eastAsiaTheme="minorEastAsia" w:hAnsiTheme="minorEastAsia" w:hint="eastAsia"/>
          <w:snapToGrid w:val="0"/>
          <w:color w:val="auto"/>
          <w:sz w:val="28"/>
          <w:szCs w:val="28"/>
        </w:rPr>
        <w:t>买受人</w:t>
      </w:r>
      <w:r>
        <w:rPr>
          <w:rFonts w:asciiTheme="minorEastAsia" w:eastAsiaTheme="minorEastAsia" w:hAnsiTheme="minorEastAsia" w:hint="eastAsia"/>
          <w:bCs/>
          <w:snapToGrid w:val="0"/>
          <w:color w:val="auto"/>
          <w:sz w:val="28"/>
          <w:szCs w:val="28"/>
        </w:rPr>
        <w:t>双方的权利与义务</w:t>
      </w:r>
    </w:p>
    <w:p w:rsidR="00407FD3" w:rsidRDefault="00D17193">
      <w:pPr>
        <w:adjustRightInd w:val="0"/>
        <w:snapToGrid w:val="0"/>
        <w:spacing w:line="440" w:lineRule="exact"/>
        <w:ind w:firstLineChars="200" w:firstLine="562"/>
        <w:contextualSpacing/>
        <w:rPr>
          <w:rFonts w:asciiTheme="minorEastAsia" w:eastAsiaTheme="minorEastAsia" w:hAnsiTheme="minorEastAsia"/>
          <w:bCs/>
          <w:snapToGrid w:val="0"/>
          <w:color w:val="auto"/>
          <w:sz w:val="28"/>
          <w:szCs w:val="28"/>
        </w:rPr>
      </w:pPr>
      <w:r>
        <w:rPr>
          <w:rFonts w:asciiTheme="minorEastAsia" w:eastAsiaTheme="minorEastAsia" w:hAnsiTheme="minorEastAsia" w:hint="eastAsia"/>
          <w:bCs/>
          <w:snapToGrid w:val="0"/>
          <w:color w:val="auto"/>
          <w:sz w:val="28"/>
          <w:szCs w:val="28"/>
        </w:rPr>
        <w:t>（一）转让方的权利与义务</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bCs/>
          <w:snapToGrid w:val="0"/>
          <w:color w:val="auto"/>
          <w:sz w:val="28"/>
          <w:szCs w:val="28"/>
        </w:rPr>
      </w:pPr>
      <w:r>
        <w:rPr>
          <w:rFonts w:asciiTheme="minorEastAsia" w:eastAsiaTheme="minorEastAsia" w:hAnsiTheme="minorEastAsia" w:hint="eastAsia"/>
          <w:b w:val="0"/>
          <w:bCs/>
          <w:snapToGrid w:val="0"/>
          <w:color w:val="auto"/>
          <w:sz w:val="28"/>
          <w:szCs w:val="28"/>
        </w:rPr>
        <w:t>1</w:t>
      </w:r>
      <w:r>
        <w:rPr>
          <w:rFonts w:asciiTheme="minorEastAsia" w:eastAsiaTheme="minorEastAsia" w:hAnsiTheme="minorEastAsia" w:hint="eastAsia"/>
          <w:b w:val="0"/>
          <w:bCs/>
          <w:snapToGrid w:val="0"/>
          <w:color w:val="auto"/>
          <w:sz w:val="28"/>
          <w:szCs w:val="28"/>
        </w:rPr>
        <w:t>、</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向转让方缴纳</w:t>
      </w:r>
      <w:r>
        <w:rPr>
          <w:rFonts w:asciiTheme="minorEastAsia" w:eastAsiaTheme="minorEastAsia" w:hAnsiTheme="minorEastAsia" w:hint="eastAsia"/>
          <w:b w:val="0"/>
          <w:snapToGrid w:val="0"/>
          <w:color w:val="auto"/>
          <w:sz w:val="28"/>
          <w:szCs w:val="28"/>
        </w:rPr>
        <w:t>全额活立木转让成交木材款并签订</w:t>
      </w:r>
      <w:r>
        <w:rPr>
          <w:rFonts w:asciiTheme="minorEastAsia" w:eastAsiaTheme="minorEastAsia" w:hAnsiTheme="minorEastAsia"/>
          <w:b w:val="0"/>
          <w:snapToGrid w:val="0"/>
          <w:color w:val="auto"/>
          <w:sz w:val="28"/>
          <w:szCs w:val="28"/>
        </w:rPr>
        <w:t>《活立木转让合同》、《安全生产管理承诺书》、《</w:t>
      </w:r>
      <w:r>
        <w:rPr>
          <w:rFonts w:asciiTheme="minorEastAsia" w:eastAsiaTheme="minorEastAsia" w:hAnsiTheme="minorEastAsia" w:hint="eastAsia"/>
          <w:b w:val="0"/>
          <w:snapToGrid w:val="0"/>
          <w:color w:val="auto"/>
          <w:sz w:val="28"/>
          <w:szCs w:val="28"/>
        </w:rPr>
        <w:t>森林防火责任</w:t>
      </w:r>
      <w:r>
        <w:rPr>
          <w:rFonts w:asciiTheme="minorEastAsia" w:eastAsiaTheme="minorEastAsia" w:hAnsiTheme="minorEastAsia"/>
          <w:b w:val="0"/>
          <w:snapToGrid w:val="0"/>
          <w:color w:val="auto"/>
          <w:sz w:val="28"/>
          <w:szCs w:val="28"/>
        </w:rPr>
        <w:t>书》等</w:t>
      </w:r>
      <w:r>
        <w:rPr>
          <w:rFonts w:asciiTheme="minorEastAsia" w:eastAsiaTheme="minorEastAsia" w:hAnsiTheme="minorEastAsia" w:hint="eastAsia"/>
          <w:b w:val="0"/>
          <w:snapToGrid w:val="0"/>
          <w:color w:val="auto"/>
          <w:sz w:val="28"/>
          <w:szCs w:val="28"/>
        </w:rPr>
        <w:t>文件后</w:t>
      </w:r>
      <w:r>
        <w:rPr>
          <w:rFonts w:asciiTheme="minorEastAsia" w:eastAsiaTheme="minorEastAsia" w:hAnsiTheme="minorEastAsia" w:hint="eastAsia"/>
          <w:b w:val="0"/>
          <w:bCs/>
          <w:snapToGrid w:val="0"/>
          <w:color w:val="auto"/>
          <w:sz w:val="28"/>
          <w:szCs w:val="28"/>
        </w:rPr>
        <w:t>三个工作日内，转让方应向</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拨交活立木所有权和使用权，同时交付《林木采伐许可证》。</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bCs/>
          <w:snapToGrid w:val="0"/>
          <w:color w:val="auto"/>
          <w:sz w:val="28"/>
          <w:szCs w:val="28"/>
        </w:rPr>
      </w:pPr>
      <w:r>
        <w:rPr>
          <w:rFonts w:asciiTheme="minorEastAsia" w:eastAsiaTheme="minorEastAsia" w:hAnsiTheme="minorEastAsia" w:hint="eastAsia"/>
          <w:b w:val="0"/>
          <w:bCs/>
          <w:snapToGrid w:val="0"/>
          <w:color w:val="auto"/>
          <w:sz w:val="28"/>
          <w:szCs w:val="28"/>
        </w:rPr>
        <w:t>2</w:t>
      </w:r>
      <w:r>
        <w:rPr>
          <w:rFonts w:asciiTheme="minorEastAsia" w:eastAsiaTheme="minorEastAsia" w:hAnsiTheme="minorEastAsia" w:hint="eastAsia"/>
          <w:b w:val="0"/>
          <w:bCs/>
          <w:snapToGrid w:val="0"/>
          <w:color w:val="auto"/>
          <w:sz w:val="28"/>
          <w:szCs w:val="28"/>
        </w:rPr>
        <w:t>、转让方有权检查</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凭证采伐执行情况及伐区作业质量。</w:t>
      </w:r>
    </w:p>
    <w:p w:rsidR="00407FD3" w:rsidRDefault="00D17193">
      <w:pPr>
        <w:adjustRightInd w:val="0"/>
        <w:snapToGrid w:val="0"/>
        <w:spacing w:line="440" w:lineRule="exact"/>
        <w:ind w:firstLineChars="200" w:firstLine="560"/>
        <w:contextualSpacing/>
        <w:rPr>
          <w:rFonts w:ascii="宋体" w:hAnsi="宋体"/>
          <w:b w:val="0"/>
          <w:bCs/>
          <w:color w:val="auto"/>
          <w:spacing w:val="-2"/>
          <w:sz w:val="28"/>
          <w:szCs w:val="28"/>
        </w:rPr>
      </w:pPr>
      <w:r>
        <w:rPr>
          <w:rFonts w:asciiTheme="minorEastAsia" w:eastAsiaTheme="minorEastAsia" w:hAnsiTheme="minorEastAsia" w:hint="eastAsia"/>
          <w:b w:val="0"/>
          <w:bCs/>
          <w:snapToGrid w:val="0"/>
          <w:color w:val="auto"/>
          <w:sz w:val="28"/>
          <w:szCs w:val="28"/>
        </w:rPr>
        <w:t>3</w:t>
      </w:r>
      <w:r>
        <w:rPr>
          <w:rFonts w:asciiTheme="minorEastAsia" w:eastAsiaTheme="minorEastAsia" w:hAnsiTheme="minorEastAsia" w:hint="eastAsia"/>
          <w:b w:val="0"/>
          <w:bCs/>
          <w:snapToGrid w:val="0"/>
          <w:color w:val="auto"/>
          <w:sz w:val="28"/>
          <w:szCs w:val="28"/>
        </w:rPr>
        <w:t>、</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因木材生产需在伐区外且属于转让方辖区的山场内开设集材道的，</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需提出用地书面申请，转让方协助办理相关手续后才能开设，且用地范围内的活立木由</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生产销售，</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应向转让方按标的成交平均单价缴纳相应活立木价款（不分树种、材种），所开设的集材道路所有权归转让方所有。</w:t>
      </w:r>
      <w:r>
        <w:rPr>
          <w:rFonts w:ascii="宋体" w:hAnsi="宋体" w:hint="eastAsia"/>
          <w:b w:val="0"/>
          <w:color w:val="auto"/>
          <w:spacing w:val="-2"/>
          <w:sz w:val="28"/>
          <w:szCs w:val="28"/>
        </w:rPr>
        <w:t>若因未办理伐区外</w:t>
      </w:r>
      <w:r>
        <w:rPr>
          <w:rFonts w:ascii="宋体" w:hAnsi="宋体" w:hint="eastAsia"/>
          <w:b w:val="0"/>
          <w:color w:val="auto"/>
          <w:sz w:val="28"/>
          <w:szCs w:val="28"/>
        </w:rPr>
        <w:t>集材道路</w:t>
      </w:r>
      <w:r>
        <w:rPr>
          <w:rFonts w:ascii="宋体" w:hAnsi="宋体" w:hint="eastAsia"/>
          <w:b w:val="0"/>
          <w:color w:val="auto"/>
          <w:spacing w:val="-2"/>
          <w:sz w:val="28"/>
          <w:szCs w:val="28"/>
        </w:rPr>
        <w:t>用地及林木采伐审批手续造成的经济和</w:t>
      </w:r>
      <w:r>
        <w:rPr>
          <w:rFonts w:ascii="宋体" w:hAnsi="宋体" w:hint="eastAsia"/>
          <w:b w:val="0"/>
          <w:bCs/>
          <w:color w:val="auto"/>
          <w:spacing w:val="-2"/>
          <w:sz w:val="28"/>
          <w:szCs w:val="28"/>
        </w:rPr>
        <w:t>法律责任由</w:t>
      </w:r>
      <w:r>
        <w:rPr>
          <w:rFonts w:asciiTheme="minorEastAsia" w:eastAsiaTheme="minorEastAsia" w:hAnsiTheme="minorEastAsia" w:hint="eastAsia"/>
          <w:b w:val="0"/>
          <w:snapToGrid w:val="0"/>
          <w:color w:val="auto"/>
          <w:sz w:val="28"/>
          <w:szCs w:val="28"/>
        </w:rPr>
        <w:t>买受人</w:t>
      </w:r>
      <w:r>
        <w:rPr>
          <w:rFonts w:ascii="宋体" w:hAnsi="宋体" w:hint="eastAsia"/>
          <w:b w:val="0"/>
          <w:bCs/>
          <w:color w:val="auto"/>
          <w:spacing w:val="-2"/>
          <w:sz w:val="28"/>
          <w:szCs w:val="28"/>
        </w:rPr>
        <w:t>承担。</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bCs/>
          <w:snapToGrid w:val="0"/>
          <w:color w:val="auto"/>
          <w:sz w:val="28"/>
          <w:szCs w:val="28"/>
        </w:rPr>
      </w:pPr>
      <w:r>
        <w:rPr>
          <w:rFonts w:asciiTheme="minorEastAsia" w:eastAsiaTheme="minorEastAsia" w:hAnsiTheme="minorEastAsia" w:hint="eastAsia"/>
          <w:b w:val="0"/>
          <w:bCs/>
          <w:snapToGrid w:val="0"/>
          <w:color w:val="auto"/>
          <w:sz w:val="28"/>
          <w:szCs w:val="28"/>
        </w:rPr>
        <w:t>4</w:t>
      </w:r>
      <w:r>
        <w:rPr>
          <w:rFonts w:asciiTheme="minorEastAsia" w:eastAsiaTheme="minorEastAsia" w:hAnsiTheme="minorEastAsia" w:hint="eastAsia"/>
          <w:b w:val="0"/>
          <w:bCs/>
          <w:snapToGrid w:val="0"/>
          <w:color w:val="auto"/>
          <w:sz w:val="28"/>
          <w:szCs w:val="28"/>
        </w:rPr>
        <w:t>、标的活立木若存在权属纠纷，导致活立木无法采伐经营，由转让方、</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对权属纠纷的活立木依据《国家森林采伐作业规程》进行每木检量并计算出材量，按标的成交平均单价核减成交价款（不分树种、材种）。</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bCs/>
          <w:snapToGrid w:val="0"/>
          <w:color w:val="auto"/>
          <w:sz w:val="28"/>
          <w:szCs w:val="28"/>
        </w:rPr>
      </w:pPr>
      <w:r>
        <w:rPr>
          <w:rFonts w:asciiTheme="minorEastAsia" w:eastAsiaTheme="minorEastAsia" w:hAnsiTheme="minorEastAsia" w:hint="eastAsia"/>
          <w:b w:val="0"/>
          <w:bCs/>
          <w:snapToGrid w:val="0"/>
          <w:color w:val="auto"/>
          <w:sz w:val="28"/>
          <w:szCs w:val="28"/>
        </w:rPr>
        <w:t>5</w:t>
      </w:r>
      <w:r>
        <w:rPr>
          <w:rFonts w:asciiTheme="minorEastAsia" w:eastAsiaTheme="minorEastAsia" w:hAnsiTheme="minorEastAsia" w:hint="eastAsia"/>
          <w:b w:val="0"/>
          <w:bCs/>
          <w:snapToGrid w:val="0"/>
          <w:color w:val="auto"/>
          <w:sz w:val="28"/>
          <w:szCs w:val="28"/>
        </w:rPr>
        <w:t>、伐区验收合格后</w:t>
      </w:r>
      <w:r>
        <w:rPr>
          <w:rFonts w:asciiTheme="minorEastAsia" w:eastAsiaTheme="minorEastAsia" w:hAnsiTheme="minorEastAsia"/>
          <w:b w:val="0"/>
          <w:bCs/>
          <w:snapToGrid w:val="0"/>
          <w:color w:val="auto"/>
          <w:sz w:val="28"/>
          <w:szCs w:val="28"/>
        </w:rPr>
        <w:t>15</w:t>
      </w:r>
      <w:r>
        <w:rPr>
          <w:rFonts w:asciiTheme="minorEastAsia" w:eastAsiaTheme="minorEastAsia" w:hAnsiTheme="minorEastAsia" w:hint="eastAsia"/>
          <w:b w:val="0"/>
          <w:bCs/>
          <w:snapToGrid w:val="0"/>
          <w:color w:val="auto"/>
          <w:sz w:val="28"/>
          <w:szCs w:val="28"/>
        </w:rPr>
        <w:t>个工作日内，转让方必须向</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办清有关手续。</w:t>
      </w:r>
    </w:p>
    <w:p w:rsidR="00407FD3" w:rsidRDefault="00D17193">
      <w:pPr>
        <w:adjustRightInd w:val="0"/>
        <w:snapToGrid w:val="0"/>
        <w:spacing w:line="440" w:lineRule="exact"/>
        <w:ind w:firstLineChars="200" w:firstLine="562"/>
        <w:contextualSpacing/>
        <w:rPr>
          <w:rFonts w:asciiTheme="minorEastAsia" w:eastAsiaTheme="minorEastAsia" w:hAnsiTheme="minorEastAsia"/>
          <w:bCs/>
          <w:snapToGrid w:val="0"/>
          <w:color w:val="auto"/>
          <w:sz w:val="28"/>
          <w:szCs w:val="28"/>
        </w:rPr>
      </w:pPr>
      <w:r>
        <w:rPr>
          <w:rFonts w:asciiTheme="minorEastAsia" w:eastAsiaTheme="minorEastAsia" w:hAnsiTheme="minorEastAsia" w:hint="eastAsia"/>
          <w:bCs/>
          <w:snapToGrid w:val="0"/>
          <w:color w:val="auto"/>
          <w:sz w:val="28"/>
          <w:szCs w:val="28"/>
        </w:rPr>
        <w:t>（二）买受人的权利与义务</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1</w:t>
      </w:r>
      <w:r>
        <w:rPr>
          <w:rFonts w:asciiTheme="minorEastAsia" w:eastAsiaTheme="minorEastAsia" w:hAnsiTheme="minorEastAsia" w:hint="eastAsia"/>
          <w:b w:val="0"/>
          <w:snapToGrid w:val="0"/>
          <w:color w:val="auto"/>
          <w:sz w:val="28"/>
          <w:szCs w:val="28"/>
        </w:rPr>
        <w:t>、买受人应于</w:t>
      </w:r>
      <w:r>
        <w:rPr>
          <w:rFonts w:asciiTheme="minorEastAsia" w:eastAsiaTheme="minorEastAsia" w:hAnsiTheme="minorEastAsia" w:hint="eastAsia"/>
          <w:b w:val="0"/>
          <w:snapToGrid w:val="0"/>
          <w:color w:val="FF0000"/>
          <w:sz w:val="28"/>
          <w:szCs w:val="28"/>
        </w:rPr>
        <w:t>2026</w:t>
      </w:r>
      <w:r>
        <w:rPr>
          <w:rFonts w:asciiTheme="minorEastAsia" w:eastAsiaTheme="minorEastAsia" w:hAnsiTheme="minorEastAsia" w:hint="eastAsia"/>
          <w:b w:val="0"/>
          <w:snapToGrid w:val="0"/>
          <w:color w:val="FF0000"/>
          <w:sz w:val="28"/>
          <w:szCs w:val="28"/>
        </w:rPr>
        <w:t>年</w:t>
      </w:r>
      <w:r>
        <w:rPr>
          <w:rFonts w:asciiTheme="minorEastAsia" w:eastAsiaTheme="minorEastAsia" w:hAnsiTheme="minorEastAsia" w:hint="eastAsia"/>
          <w:b w:val="0"/>
          <w:snapToGrid w:val="0"/>
          <w:color w:val="FF0000"/>
          <w:sz w:val="28"/>
          <w:szCs w:val="28"/>
        </w:rPr>
        <w:t>10</w:t>
      </w:r>
      <w:r>
        <w:rPr>
          <w:rFonts w:asciiTheme="minorEastAsia" w:eastAsiaTheme="minorEastAsia" w:hAnsiTheme="minorEastAsia" w:hint="eastAsia"/>
          <w:b w:val="0"/>
          <w:snapToGrid w:val="0"/>
          <w:color w:val="FF0000"/>
          <w:sz w:val="28"/>
          <w:szCs w:val="28"/>
        </w:rPr>
        <w:t>月</w:t>
      </w:r>
      <w:r>
        <w:rPr>
          <w:rFonts w:asciiTheme="minorEastAsia" w:eastAsiaTheme="minorEastAsia" w:hAnsiTheme="minorEastAsia" w:hint="eastAsia"/>
          <w:b w:val="0"/>
          <w:snapToGrid w:val="0"/>
          <w:color w:val="FF0000"/>
          <w:sz w:val="28"/>
          <w:szCs w:val="28"/>
        </w:rPr>
        <w:t>29</w:t>
      </w:r>
      <w:r>
        <w:rPr>
          <w:rFonts w:asciiTheme="minorEastAsia" w:eastAsiaTheme="minorEastAsia" w:hAnsiTheme="minorEastAsia" w:hint="eastAsia"/>
          <w:b w:val="0"/>
          <w:snapToGrid w:val="0"/>
          <w:color w:val="FF0000"/>
          <w:sz w:val="28"/>
          <w:szCs w:val="28"/>
        </w:rPr>
        <w:t>日</w:t>
      </w:r>
      <w:r>
        <w:rPr>
          <w:rFonts w:asciiTheme="minorEastAsia" w:eastAsiaTheme="minorEastAsia" w:hAnsiTheme="minorEastAsia" w:hint="eastAsia"/>
          <w:b w:val="0"/>
          <w:snapToGrid w:val="0"/>
          <w:color w:val="FF0000"/>
          <w:sz w:val="28"/>
          <w:szCs w:val="28"/>
        </w:rPr>
        <w:t>17:00</w:t>
      </w:r>
      <w:r>
        <w:rPr>
          <w:rFonts w:asciiTheme="minorEastAsia" w:eastAsiaTheme="minorEastAsia" w:hAnsiTheme="minorEastAsia" w:hint="eastAsia"/>
          <w:b w:val="0"/>
          <w:snapToGrid w:val="0"/>
          <w:color w:val="FF0000"/>
          <w:sz w:val="28"/>
          <w:szCs w:val="28"/>
        </w:rPr>
        <w:t>前</w:t>
      </w:r>
      <w:r>
        <w:rPr>
          <w:rFonts w:asciiTheme="minorEastAsia" w:eastAsiaTheme="minorEastAsia" w:hAnsiTheme="minorEastAsia" w:hint="eastAsia"/>
          <w:b w:val="0"/>
          <w:snapToGrid w:val="0"/>
          <w:color w:val="auto"/>
          <w:sz w:val="28"/>
          <w:szCs w:val="28"/>
        </w:rPr>
        <w:t>全额缴清成交价款（含交易保证金转为木材款部分），交清成交款后</w:t>
      </w:r>
      <w:r>
        <w:rPr>
          <w:rFonts w:asciiTheme="minorEastAsia" w:eastAsiaTheme="minorEastAsia" w:hAnsiTheme="minorEastAsia" w:hint="eastAsia"/>
          <w:b w:val="0"/>
          <w:snapToGrid w:val="0"/>
          <w:color w:val="auto"/>
          <w:sz w:val="28"/>
          <w:szCs w:val="28"/>
        </w:rPr>
        <w:t>3</w:t>
      </w:r>
      <w:r>
        <w:rPr>
          <w:rFonts w:asciiTheme="minorEastAsia" w:eastAsiaTheme="minorEastAsia" w:hAnsiTheme="minorEastAsia" w:hint="eastAsia"/>
          <w:b w:val="0"/>
          <w:snapToGrid w:val="0"/>
          <w:color w:val="auto"/>
          <w:sz w:val="28"/>
          <w:szCs w:val="28"/>
        </w:rPr>
        <w:t>个工作日内与转让方签订《活立木转让合同》、《安全生产管理承诺书》、《森林防火责任书》等文件。</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2</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在未取得活立木拨交手续前不得以任何理由进场经营；在取得转让方活立木所有权和使用权拨交手续，以及转让方交付的《林木采伐许可证》，并会同转让方对标的活立木位置、周界（以标的边界标号木为准）等进一步确认后，方可进场生产作业</w:t>
      </w:r>
      <w:r>
        <w:rPr>
          <w:rFonts w:asciiTheme="minorEastAsia" w:eastAsiaTheme="minorEastAsia" w:hAnsiTheme="minorEastAsia" w:hint="eastAsia"/>
          <w:b w:val="0"/>
          <w:snapToGrid w:val="0"/>
          <w:color w:val="auto"/>
          <w:sz w:val="28"/>
          <w:szCs w:val="28"/>
        </w:rPr>
        <w:t>。转让方将</w:t>
      </w:r>
      <w:r>
        <w:rPr>
          <w:rFonts w:asciiTheme="minorEastAsia" w:eastAsiaTheme="minorEastAsia" w:hAnsiTheme="minorEastAsia" w:hint="eastAsia"/>
          <w:b w:val="0"/>
          <w:snapToGrid w:val="0"/>
          <w:color w:val="auto"/>
          <w:sz w:val="28"/>
          <w:szCs w:val="28"/>
        </w:rPr>
        <w:lastRenderedPageBreak/>
        <w:t>活立木拨交给买受人后，林木的生产经营风险由买受人承担。</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snapToGrid w:val="0"/>
          <w:color w:val="auto"/>
          <w:spacing w:val="-4"/>
          <w:sz w:val="28"/>
          <w:szCs w:val="28"/>
        </w:rPr>
      </w:pPr>
      <w:r>
        <w:rPr>
          <w:rFonts w:asciiTheme="minorEastAsia" w:eastAsiaTheme="minorEastAsia" w:hAnsiTheme="minorEastAsia" w:hint="eastAsia"/>
          <w:b w:val="0"/>
          <w:snapToGrid w:val="0"/>
          <w:color w:val="auto"/>
          <w:sz w:val="28"/>
          <w:szCs w:val="28"/>
        </w:rPr>
        <w:t>3</w:t>
      </w:r>
      <w:r>
        <w:rPr>
          <w:rFonts w:asciiTheme="minorEastAsia" w:eastAsiaTheme="minorEastAsia" w:hAnsiTheme="minorEastAsia" w:hint="eastAsia"/>
          <w:b w:val="0"/>
          <w:snapToGrid w:val="0"/>
          <w:color w:val="auto"/>
          <w:sz w:val="28"/>
          <w:szCs w:val="28"/>
        </w:rPr>
        <w:t>、买受人必须遵守有关林木采伐运输的国家、</w:t>
      </w:r>
      <w:r>
        <w:rPr>
          <w:rFonts w:asciiTheme="minorEastAsia" w:eastAsiaTheme="minorEastAsia" w:hAnsiTheme="minorEastAsia" w:hint="eastAsia"/>
          <w:b w:val="0"/>
          <w:snapToGrid w:val="0"/>
          <w:color w:val="auto"/>
          <w:spacing w:val="-4"/>
          <w:sz w:val="28"/>
          <w:szCs w:val="28"/>
        </w:rPr>
        <w:t>行业、地方标准和其他法律法规规章、以及其他规范性文件，自行组织木材生产和销售。</w:t>
      </w:r>
    </w:p>
    <w:p w:rsidR="00407FD3" w:rsidRDefault="00D17193">
      <w:pPr>
        <w:adjustRightInd w:val="0"/>
        <w:snapToGrid w:val="0"/>
        <w:spacing w:line="440" w:lineRule="exact"/>
        <w:ind w:firstLineChars="200" w:firstLine="562"/>
        <w:contextualSpacing/>
        <w:rPr>
          <w:rFonts w:asciiTheme="minorEastAsia" w:eastAsiaTheme="minorEastAsia" w:hAnsiTheme="minorEastAsia"/>
          <w:snapToGrid w:val="0"/>
          <w:color w:val="auto"/>
          <w:sz w:val="28"/>
          <w:szCs w:val="28"/>
        </w:rPr>
      </w:pPr>
      <w:r>
        <w:rPr>
          <w:rFonts w:asciiTheme="minorEastAsia" w:eastAsiaTheme="minorEastAsia" w:hAnsiTheme="minorEastAsia" w:hint="eastAsia"/>
          <w:snapToGrid w:val="0"/>
          <w:color w:val="auto"/>
          <w:sz w:val="28"/>
          <w:szCs w:val="28"/>
        </w:rPr>
        <w:t>4</w:t>
      </w:r>
      <w:r>
        <w:rPr>
          <w:rFonts w:asciiTheme="minorEastAsia" w:eastAsiaTheme="minorEastAsia" w:hAnsiTheme="minorEastAsia" w:hint="eastAsia"/>
          <w:snapToGrid w:val="0"/>
          <w:color w:val="auto"/>
          <w:sz w:val="28"/>
          <w:szCs w:val="28"/>
        </w:rPr>
        <w:t>、买受人组织木材生产时必须招用</w:t>
      </w:r>
      <w:r>
        <w:rPr>
          <w:rFonts w:asciiTheme="minorEastAsia" w:eastAsiaTheme="minorEastAsia" w:hAnsiTheme="minorEastAsia"/>
          <w:snapToGrid w:val="0"/>
          <w:color w:val="auto"/>
          <w:sz w:val="28"/>
          <w:szCs w:val="28"/>
        </w:rPr>
        <w:t>经营范围</w:t>
      </w:r>
      <w:r>
        <w:rPr>
          <w:rFonts w:asciiTheme="minorEastAsia" w:eastAsiaTheme="minorEastAsia" w:hAnsiTheme="minorEastAsia" w:hint="eastAsia"/>
          <w:snapToGrid w:val="0"/>
          <w:color w:val="auto"/>
          <w:sz w:val="28"/>
          <w:szCs w:val="28"/>
        </w:rPr>
        <w:t>具备“木材采运”或“林木采伐”或“采伐”等项目的施工企业从事木材生产</w:t>
      </w:r>
      <w:r>
        <w:rPr>
          <w:rFonts w:asciiTheme="minorEastAsia" w:eastAsiaTheme="minorEastAsia" w:hAnsiTheme="minorEastAsia" w:hint="eastAsia"/>
          <w:snapToGrid w:val="0"/>
          <w:color w:val="auto"/>
          <w:sz w:val="28"/>
          <w:szCs w:val="28"/>
        </w:rPr>
        <w:t>活动。同时将加盖公章的施工企业营业执照、银行开户许可证、法定代表人居民身份证等有效复印件交由转让方备案存档。</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5</w:t>
      </w:r>
      <w:r>
        <w:rPr>
          <w:rFonts w:asciiTheme="minorEastAsia" w:eastAsiaTheme="minorEastAsia" w:hAnsiTheme="minorEastAsia" w:hint="eastAsia"/>
          <w:b w:val="0"/>
          <w:snapToGrid w:val="0"/>
          <w:color w:val="auto"/>
          <w:sz w:val="28"/>
          <w:szCs w:val="28"/>
        </w:rPr>
        <w:t>、买受人必须严格按照《林木采伐许可证》内容做好凭证采伐。同时应在转让方拨交的四至范围内进行生产，不得越界和超量采伐，伐区四周标号的边界木不得采伐。伐区内珍贵树种（如：水杉、闽楠、樟树、福建柏等）不得采伐，否则所引起的法律责任由买受人负责；伐区内墓树应按当地风俗习惯保留，不得采伐。因生产造成损害的，由买受人自行协调、处理，并承担相应经济、民事责任。</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6</w:t>
      </w:r>
      <w:r>
        <w:rPr>
          <w:rFonts w:asciiTheme="minorEastAsia" w:eastAsiaTheme="minorEastAsia" w:hAnsiTheme="minorEastAsia" w:hint="eastAsia"/>
          <w:b w:val="0"/>
          <w:snapToGrid w:val="0"/>
          <w:color w:val="auto"/>
          <w:sz w:val="28"/>
          <w:szCs w:val="28"/>
        </w:rPr>
        <w:t>、买受人在实施采伐前，每个小班（伐区）都应设立暂</w:t>
      </w:r>
      <w:r>
        <w:rPr>
          <w:rFonts w:asciiTheme="minorEastAsia" w:eastAsiaTheme="minorEastAsia" w:hAnsiTheme="minorEastAsia" w:hint="eastAsia"/>
          <w:b w:val="0"/>
          <w:snapToGrid w:val="0"/>
          <w:color w:val="auto"/>
          <w:sz w:val="28"/>
          <w:szCs w:val="28"/>
        </w:rPr>
        <w:t>缓采伐地块，暂缓采伐地块的面积必须占伐区拨交面积的</w:t>
      </w:r>
      <w:r>
        <w:rPr>
          <w:rFonts w:asciiTheme="minorEastAsia" w:eastAsiaTheme="minorEastAsia" w:hAnsiTheme="minorEastAsia"/>
          <w:b w:val="0"/>
          <w:snapToGrid w:val="0"/>
          <w:color w:val="auto"/>
          <w:sz w:val="28"/>
          <w:szCs w:val="28"/>
        </w:rPr>
        <w:t>20%</w:t>
      </w:r>
      <w:r>
        <w:rPr>
          <w:rFonts w:asciiTheme="minorEastAsia" w:eastAsiaTheme="minorEastAsia" w:hAnsiTheme="minorEastAsia" w:hint="eastAsia"/>
          <w:b w:val="0"/>
          <w:snapToGrid w:val="0"/>
          <w:color w:val="auto"/>
          <w:sz w:val="28"/>
          <w:szCs w:val="28"/>
        </w:rPr>
        <w:t>以上。若伐区预计出材量超过审批数量</w:t>
      </w:r>
      <w:r>
        <w:rPr>
          <w:rFonts w:asciiTheme="minorEastAsia" w:eastAsiaTheme="minorEastAsia" w:hAnsiTheme="minorEastAsia"/>
          <w:b w:val="0"/>
          <w:snapToGrid w:val="0"/>
          <w:color w:val="auto"/>
          <w:sz w:val="28"/>
          <w:szCs w:val="28"/>
        </w:rPr>
        <w:t>10%</w:t>
      </w:r>
      <w:r>
        <w:rPr>
          <w:rFonts w:asciiTheme="minorEastAsia" w:eastAsiaTheme="minorEastAsia" w:hAnsiTheme="minorEastAsia" w:hint="eastAsia"/>
          <w:b w:val="0"/>
          <w:snapToGrid w:val="0"/>
          <w:color w:val="auto"/>
          <w:sz w:val="28"/>
          <w:szCs w:val="28"/>
        </w:rPr>
        <w:t>以上时，买受人应立即停止采伐，并及时向转让方书面报告，待转让方组织调查设计、补办采伐审批手续后方可继续采伐。否则，所引起的一切法律后果由买受人承担。</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7</w:t>
      </w:r>
      <w:r>
        <w:rPr>
          <w:rFonts w:asciiTheme="minorEastAsia" w:eastAsiaTheme="minorEastAsia" w:hAnsiTheme="minorEastAsia" w:hint="eastAsia"/>
          <w:b w:val="0"/>
          <w:snapToGrid w:val="0"/>
          <w:color w:val="auto"/>
          <w:sz w:val="28"/>
          <w:szCs w:val="28"/>
        </w:rPr>
        <w:t>、买受人必须按技术规程做好伐区作业质量。采伐林木时，必须努力降低伐根高度，伐根力求与地面平，高度不超过</w:t>
      </w:r>
      <w:r>
        <w:rPr>
          <w:rFonts w:asciiTheme="minorEastAsia" w:eastAsiaTheme="minorEastAsia" w:hAnsiTheme="minorEastAsia"/>
          <w:b w:val="0"/>
          <w:snapToGrid w:val="0"/>
          <w:color w:val="auto"/>
          <w:sz w:val="28"/>
          <w:szCs w:val="28"/>
        </w:rPr>
        <w:t>5cm</w:t>
      </w:r>
      <w:r>
        <w:rPr>
          <w:rFonts w:asciiTheme="minorEastAsia" w:eastAsiaTheme="minorEastAsia" w:hAnsiTheme="minorEastAsia" w:hint="eastAsia"/>
          <w:b w:val="0"/>
          <w:snapToGrid w:val="0"/>
          <w:color w:val="auto"/>
          <w:sz w:val="28"/>
          <w:szCs w:val="28"/>
        </w:rPr>
        <w:t>。伐净应伐木，尾径</w:t>
      </w:r>
      <w:r>
        <w:rPr>
          <w:rFonts w:asciiTheme="minorEastAsia" w:eastAsiaTheme="minorEastAsia" w:hAnsiTheme="minorEastAsia" w:hint="eastAsia"/>
          <w:b w:val="0"/>
          <w:snapToGrid w:val="0"/>
          <w:color w:val="auto"/>
          <w:sz w:val="28"/>
          <w:szCs w:val="28"/>
        </w:rPr>
        <w:t>4</w:t>
      </w:r>
      <w:r>
        <w:rPr>
          <w:rFonts w:asciiTheme="minorEastAsia" w:eastAsiaTheme="minorEastAsia" w:hAnsiTheme="minorEastAsia"/>
          <w:b w:val="0"/>
          <w:snapToGrid w:val="0"/>
          <w:color w:val="auto"/>
          <w:sz w:val="28"/>
          <w:szCs w:val="28"/>
        </w:rPr>
        <w:t>cm</w:t>
      </w:r>
      <w:r>
        <w:rPr>
          <w:rFonts w:asciiTheme="minorEastAsia" w:eastAsiaTheme="minorEastAsia" w:hAnsiTheme="minorEastAsia" w:hint="eastAsia"/>
          <w:b w:val="0"/>
          <w:snapToGrid w:val="0"/>
          <w:color w:val="auto"/>
          <w:sz w:val="28"/>
          <w:szCs w:val="28"/>
        </w:rPr>
        <w:t>，长度</w:t>
      </w:r>
      <w:r>
        <w:rPr>
          <w:rFonts w:asciiTheme="minorEastAsia" w:eastAsiaTheme="minorEastAsia" w:hAnsiTheme="minorEastAsia" w:hint="eastAsia"/>
          <w:b w:val="0"/>
          <w:snapToGrid w:val="0"/>
          <w:color w:val="auto"/>
          <w:sz w:val="28"/>
          <w:szCs w:val="28"/>
        </w:rPr>
        <w:t>2.0</w:t>
      </w:r>
      <w:r>
        <w:rPr>
          <w:rFonts w:asciiTheme="minorEastAsia" w:eastAsiaTheme="minorEastAsia" w:hAnsiTheme="minorEastAsia"/>
          <w:b w:val="0"/>
          <w:snapToGrid w:val="0"/>
          <w:color w:val="auto"/>
          <w:sz w:val="28"/>
          <w:szCs w:val="28"/>
        </w:rPr>
        <w:t>m</w:t>
      </w:r>
      <w:r>
        <w:rPr>
          <w:rFonts w:asciiTheme="minorEastAsia" w:eastAsiaTheme="minorEastAsia" w:hAnsiTheme="minorEastAsia" w:hint="eastAsia"/>
          <w:b w:val="0"/>
          <w:snapToGrid w:val="0"/>
          <w:color w:val="auto"/>
          <w:sz w:val="28"/>
          <w:szCs w:val="28"/>
        </w:rPr>
        <w:t>以上的木材应清理下山。</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8</w:t>
      </w:r>
      <w:r>
        <w:rPr>
          <w:rFonts w:asciiTheme="minorEastAsia" w:eastAsiaTheme="minorEastAsia" w:hAnsiTheme="minorEastAsia" w:hint="eastAsia"/>
          <w:b w:val="0"/>
          <w:snapToGrid w:val="0"/>
          <w:color w:val="auto"/>
          <w:sz w:val="28"/>
          <w:szCs w:val="28"/>
        </w:rPr>
        <w:t>、买受人应合理开设集材道路，做好农田、农用设施的保护工作，应遵照“坡度坡长路宽合理，减少安全隐患，少破坏林地、减少水土流失”的原则开设集材道路，并自行妥善处理与此相关的赔偿问题。买受人</w:t>
      </w:r>
      <w:r>
        <w:rPr>
          <w:rFonts w:asciiTheme="minorEastAsia" w:eastAsiaTheme="minorEastAsia" w:hAnsiTheme="minorEastAsia" w:hint="eastAsia"/>
          <w:b w:val="0"/>
          <w:bCs/>
          <w:snapToGrid w:val="0"/>
          <w:color w:val="auto"/>
          <w:sz w:val="28"/>
          <w:szCs w:val="28"/>
        </w:rPr>
        <w:t>因木材生产需在伐区外且不属于转让方辖区的山场内开设集材道的，</w:t>
      </w:r>
      <w:r>
        <w:rPr>
          <w:rFonts w:asciiTheme="minorEastAsia" w:eastAsiaTheme="minorEastAsia" w:hAnsiTheme="minorEastAsia" w:hint="eastAsia"/>
          <w:b w:val="0"/>
          <w:snapToGrid w:val="0"/>
          <w:color w:val="auto"/>
          <w:sz w:val="28"/>
          <w:szCs w:val="28"/>
        </w:rPr>
        <w:t>用地及林木采伐审批手续由买受人自行办理，其关系协调及所需费用自行负责。</w:t>
      </w:r>
      <w:r>
        <w:rPr>
          <w:rFonts w:ascii="宋体" w:hAnsi="宋体" w:hint="eastAsia"/>
          <w:b w:val="0"/>
          <w:color w:val="auto"/>
          <w:spacing w:val="-2"/>
          <w:sz w:val="28"/>
          <w:szCs w:val="28"/>
        </w:rPr>
        <w:t>若因未办理伐区外</w:t>
      </w:r>
      <w:r>
        <w:rPr>
          <w:rFonts w:ascii="宋体" w:hAnsi="宋体" w:hint="eastAsia"/>
          <w:b w:val="0"/>
          <w:color w:val="auto"/>
          <w:sz w:val="28"/>
          <w:szCs w:val="28"/>
        </w:rPr>
        <w:t>集材道路</w:t>
      </w:r>
      <w:r>
        <w:rPr>
          <w:rFonts w:ascii="宋体" w:hAnsi="宋体" w:hint="eastAsia"/>
          <w:b w:val="0"/>
          <w:color w:val="auto"/>
          <w:spacing w:val="-2"/>
          <w:sz w:val="28"/>
          <w:szCs w:val="28"/>
        </w:rPr>
        <w:t>用地及林木采伐审批手续造成的经济和</w:t>
      </w:r>
      <w:r>
        <w:rPr>
          <w:rFonts w:ascii="宋体" w:hAnsi="宋体" w:hint="eastAsia"/>
          <w:b w:val="0"/>
          <w:bCs/>
          <w:color w:val="auto"/>
          <w:spacing w:val="-2"/>
          <w:sz w:val="28"/>
          <w:szCs w:val="28"/>
        </w:rPr>
        <w:t>法律责任由</w:t>
      </w:r>
      <w:r>
        <w:rPr>
          <w:rFonts w:asciiTheme="minorEastAsia" w:eastAsiaTheme="minorEastAsia" w:hAnsiTheme="minorEastAsia" w:hint="eastAsia"/>
          <w:b w:val="0"/>
          <w:snapToGrid w:val="0"/>
          <w:color w:val="auto"/>
          <w:sz w:val="28"/>
          <w:szCs w:val="28"/>
        </w:rPr>
        <w:t>买受人</w:t>
      </w:r>
      <w:r>
        <w:rPr>
          <w:rFonts w:ascii="宋体" w:hAnsi="宋体" w:hint="eastAsia"/>
          <w:b w:val="0"/>
          <w:bCs/>
          <w:color w:val="auto"/>
          <w:spacing w:val="-2"/>
          <w:sz w:val="28"/>
          <w:szCs w:val="28"/>
        </w:rPr>
        <w:t>自行承担。</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9</w:t>
      </w:r>
      <w:r>
        <w:rPr>
          <w:rFonts w:asciiTheme="minorEastAsia" w:eastAsiaTheme="minorEastAsia" w:hAnsiTheme="minorEastAsia" w:hint="eastAsia"/>
          <w:b w:val="0"/>
          <w:snapToGrid w:val="0"/>
          <w:color w:val="auto"/>
          <w:sz w:val="28"/>
          <w:szCs w:val="28"/>
        </w:rPr>
        <w:t>、买受人要安排专人看管好采伐木堆头，禁止将未经除害的松类林木转卖、异地加工或转作他用。否则，引起疫情或者有引</w:t>
      </w:r>
      <w:r>
        <w:rPr>
          <w:rFonts w:asciiTheme="minorEastAsia" w:eastAsiaTheme="minorEastAsia" w:hAnsiTheme="minorEastAsia" w:hint="eastAsia"/>
          <w:b w:val="0"/>
          <w:snapToGrid w:val="0"/>
          <w:color w:val="auto"/>
          <w:sz w:val="28"/>
          <w:szCs w:val="28"/>
        </w:rPr>
        <w:t>起疫情危险，情节严重的，由有关部门依法追究买受人的刑事责任。</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lastRenderedPageBreak/>
        <w:t>10</w:t>
      </w:r>
      <w:r>
        <w:rPr>
          <w:rFonts w:asciiTheme="minorEastAsia" w:eastAsiaTheme="minorEastAsia" w:hAnsiTheme="minorEastAsia" w:hint="eastAsia"/>
          <w:b w:val="0"/>
          <w:snapToGrid w:val="0"/>
          <w:color w:val="auto"/>
          <w:sz w:val="28"/>
          <w:szCs w:val="28"/>
        </w:rPr>
        <w:t>、因清流县为</w:t>
      </w:r>
      <w:r>
        <w:rPr>
          <w:rFonts w:asciiTheme="minorEastAsia" w:eastAsiaTheme="minorEastAsia" w:hAnsiTheme="minorEastAsia"/>
          <w:b w:val="0"/>
          <w:snapToGrid w:val="0"/>
          <w:color w:val="auto"/>
          <w:sz w:val="28"/>
          <w:szCs w:val="28"/>
        </w:rPr>
        <w:t>松材线虫病</w:t>
      </w:r>
      <w:r>
        <w:rPr>
          <w:rFonts w:asciiTheme="minorEastAsia" w:eastAsiaTheme="minorEastAsia" w:hAnsiTheme="minorEastAsia" w:hint="eastAsia"/>
          <w:b w:val="0"/>
          <w:snapToGrid w:val="0"/>
          <w:color w:val="auto"/>
          <w:sz w:val="28"/>
          <w:szCs w:val="28"/>
        </w:rPr>
        <w:t>疫区县，伐区所在地清流县长校镇为疫点乡镇，约定标的所有伐区内的松类林木买受人必须严格按《福建省松材线虫病疫区和疫木管理办法》（闽林〔</w:t>
      </w:r>
      <w:r>
        <w:rPr>
          <w:rFonts w:asciiTheme="minorEastAsia" w:eastAsiaTheme="minorEastAsia" w:hAnsiTheme="minorEastAsia"/>
          <w:b w:val="0"/>
          <w:snapToGrid w:val="0"/>
          <w:color w:val="auto"/>
          <w:sz w:val="28"/>
          <w:szCs w:val="28"/>
        </w:rPr>
        <w:t>2017</w:t>
      </w:r>
      <w:r>
        <w:rPr>
          <w:rFonts w:asciiTheme="minorEastAsia" w:eastAsiaTheme="minorEastAsia" w:hAnsiTheme="minorEastAsia" w:hint="eastAsia"/>
          <w:b w:val="0"/>
          <w:snapToGrid w:val="0"/>
          <w:color w:val="auto"/>
          <w:sz w:val="28"/>
          <w:szCs w:val="28"/>
        </w:rPr>
        <w:t>〕</w:t>
      </w:r>
      <w:r>
        <w:rPr>
          <w:rFonts w:asciiTheme="minorEastAsia" w:eastAsiaTheme="minorEastAsia" w:hAnsiTheme="minorEastAsia"/>
          <w:b w:val="0"/>
          <w:snapToGrid w:val="0"/>
          <w:color w:val="auto"/>
          <w:sz w:val="28"/>
          <w:szCs w:val="28"/>
        </w:rPr>
        <w:t>15</w:t>
      </w:r>
      <w:r>
        <w:rPr>
          <w:rFonts w:asciiTheme="minorEastAsia" w:eastAsiaTheme="minorEastAsia" w:hAnsiTheme="minorEastAsia" w:hint="eastAsia"/>
          <w:b w:val="0"/>
          <w:snapToGrid w:val="0"/>
          <w:color w:val="auto"/>
          <w:sz w:val="28"/>
          <w:szCs w:val="28"/>
        </w:rPr>
        <w:t>号）、《福建省林业局关于进一步加强松材线虫病疫木监管工作的通知》（闽林〔</w:t>
      </w:r>
      <w:r>
        <w:rPr>
          <w:rFonts w:asciiTheme="minorEastAsia" w:eastAsiaTheme="minorEastAsia" w:hAnsiTheme="minorEastAsia" w:hint="eastAsia"/>
          <w:b w:val="0"/>
          <w:snapToGrid w:val="0"/>
          <w:color w:val="auto"/>
          <w:sz w:val="28"/>
          <w:szCs w:val="28"/>
        </w:rPr>
        <w:t>2022</w:t>
      </w:r>
      <w:r>
        <w:rPr>
          <w:rFonts w:asciiTheme="minorEastAsia" w:eastAsiaTheme="minorEastAsia" w:hAnsiTheme="minorEastAsia" w:hint="eastAsia"/>
          <w:b w:val="0"/>
          <w:snapToGrid w:val="0"/>
          <w:color w:val="auto"/>
          <w:sz w:val="28"/>
          <w:szCs w:val="28"/>
        </w:rPr>
        <w:t>〕</w:t>
      </w:r>
      <w:r>
        <w:rPr>
          <w:rFonts w:asciiTheme="minorEastAsia" w:eastAsiaTheme="minorEastAsia" w:hAnsiTheme="minorEastAsia" w:hint="eastAsia"/>
          <w:b w:val="0"/>
          <w:snapToGrid w:val="0"/>
          <w:color w:val="auto"/>
          <w:sz w:val="28"/>
          <w:szCs w:val="28"/>
        </w:rPr>
        <w:t>1</w:t>
      </w:r>
      <w:r>
        <w:rPr>
          <w:rFonts w:asciiTheme="minorEastAsia" w:eastAsiaTheme="minorEastAsia" w:hAnsiTheme="minorEastAsia" w:hint="eastAsia"/>
          <w:b w:val="0"/>
          <w:snapToGrid w:val="0"/>
          <w:color w:val="auto"/>
          <w:sz w:val="28"/>
          <w:szCs w:val="28"/>
        </w:rPr>
        <w:t>号）和</w:t>
      </w:r>
      <w:r>
        <w:rPr>
          <w:rFonts w:asciiTheme="minorEastAsia" w:eastAsiaTheme="minorEastAsia" w:hAnsiTheme="minorEastAsia"/>
          <w:b w:val="0"/>
          <w:snapToGrid w:val="0"/>
          <w:color w:val="auto"/>
          <w:sz w:val="28"/>
          <w:szCs w:val="28"/>
        </w:rPr>
        <w:t>《清流县</w:t>
      </w:r>
      <w:r>
        <w:rPr>
          <w:rFonts w:asciiTheme="minorEastAsia" w:eastAsiaTheme="minorEastAsia" w:hAnsiTheme="minorEastAsia" w:hint="eastAsia"/>
          <w:b w:val="0"/>
          <w:snapToGrid w:val="0"/>
          <w:color w:val="auto"/>
          <w:sz w:val="28"/>
          <w:szCs w:val="28"/>
        </w:rPr>
        <w:t>2027</w:t>
      </w:r>
      <w:r>
        <w:rPr>
          <w:rFonts w:asciiTheme="minorEastAsia" w:eastAsiaTheme="minorEastAsia" w:hAnsiTheme="minorEastAsia" w:hint="eastAsia"/>
          <w:b w:val="0"/>
          <w:snapToGrid w:val="0"/>
          <w:color w:val="auto"/>
          <w:sz w:val="28"/>
          <w:szCs w:val="28"/>
        </w:rPr>
        <w:t>年度</w:t>
      </w:r>
      <w:r>
        <w:rPr>
          <w:rFonts w:asciiTheme="minorEastAsia" w:eastAsiaTheme="minorEastAsia" w:hAnsiTheme="minorEastAsia"/>
          <w:b w:val="0"/>
          <w:snapToGrid w:val="0"/>
          <w:color w:val="auto"/>
          <w:sz w:val="28"/>
          <w:szCs w:val="28"/>
        </w:rPr>
        <w:t>松材线虫病</w:t>
      </w:r>
      <w:r>
        <w:rPr>
          <w:rFonts w:asciiTheme="minorEastAsia" w:eastAsiaTheme="minorEastAsia" w:hAnsiTheme="minorEastAsia" w:hint="eastAsia"/>
          <w:b w:val="0"/>
          <w:snapToGrid w:val="0"/>
          <w:color w:val="auto"/>
          <w:sz w:val="28"/>
          <w:szCs w:val="28"/>
        </w:rPr>
        <w:t>防控实施</w:t>
      </w:r>
      <w:r>
        <w:rPr>
          <w:rFonts w:asciiTheme="minorEastAsia" w:eastAsiaTheme="minorEastAsia" w:hAnsiTheme="minorEastAsia"/>
          <w:b w:val="0"/>
          <w:snapToGrid w:val="0"/>
          <w:color w:val="auto"/>
          <w:sz w:val="28"/>
          <w:szCs w:val="28"/>
        </w:rPr>
        <w:t>方案》</w:t>
      </w:r>
      <w:r>
        <w:rPr>
          <w:rFonts w:asciiTheme="minorEastAsia" w:eastAsiaTheme="minorEastAsia" w:hAnsiTheme="minorEastAsia" w:hint="eastAsia"/>
          <w:b w:val="0"/>
          <w:snapToGrid w:val="0"/>
          <w:color w:val="auto"/>
          <w:sz w:val="28"/>
          <w:szCs w:val="28"/>
        </w:rPr>
        <w:t>等有关文件的规定进行采伐、运输、利用以及处理，并自觉接受有关部门的监督和管理。否则，所引起的一切经济和法律后果均由买受人自行承担。</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11</w:t>
      </w:r>
      <w:r>
        <w:rPr>
          <w:rFonts w:asciiTheme="minorEastAsia" w:eastAsiaTheme="minorEastAsia" w:hAnsiTheme="minorEastAsia" w:hint="eastAsia"/>
          <w:b w:val="0"/>
          <w:snapToGrid w:val="0"/>
          <w:color w:val="auto"/>
          <w:sz w:val="28"/>
          <w:szCs w:val="28"/>
        </w:rPr>
        <w:t>、标的所</w:t>
      </w:r>
      <w:r>
        <w:rPr>
          <w:rFonts w:asciiTheme="minorEastAsia" w:eastAsiaTheme="minorEastAsia" w:hAnsiTheme="minorEastAsia" w:hint="eastAsia"/>
          <w:b w:val="0"/>
          <w:snapToGrid w:val="0"/>
          <w:color w:val="auto"/>
          <w:sz w:val="28"/>
          <w:szCs w:val="28"/>
        </w:rPr>
        <w:t>有伐区内的松类木材买受人只能运至清流县疫情发生乡镇（且不得途经非疫点乡镇）适宜除害处理点或者经清流县自然资源局党组研究确定，并向县政府办报备的除害处理点进行旋切安全利用。根据</w:t>
      </w:r>
      <w:r>
        <w:rPr>
          <w:rFonts w:asciiTheme="minorEastAsia" w:eastAsiaTheme="minorEastAsia" w:hAnsiTheme="minorEastAsia"/>
          <w:b w:val="0"/>
          <w:snapToGrid w:val="0"/>
          <w:color w:val="auto"/>
          <w:sz w:val="28"/>
          <w:szCs w:val="28"/>
        </w:rPr>
        <w:t>《清流县</w:t>
      </w:r>
      <w:r>
        <w:rPr>
          <w:rFonts w:asciiTheme="minorEastAsia" w:eastAsiaTheme="minorEastAsia" w:hAnsiTheme="minorEastAsia" w:hint="eastAsia"/>
          <w:b w:val="0"/>
          <w:snapToGrid w:val="0"/>
          <w:color w:val="auto"/>
          <w:sz w:val="28"/>
          <w:szCs w:val="28"/>
        </w:rPr>
        <w:t>2027</w:t>
      </w:r>
      <w:r>
        <w:rPr>
          <w:rFonts w:asciiTheme="minorEastAsia" w:eastAsiaTheme="minorEastAsia" w:hAnsiTheme="minorEastAsia" w:hint="eastAsia"/>
          <w:b w:val="0"/>
          <w:snapToGrid w:val="0"/>
          <w:color w:val="auto"/>
          <w:sz w:val="28"/>
          <w:szCs w:val="28"/>
        </w:rPr>
        <w:t>年度</w:t>
      </w:r>
      <w:r>
        <w:rPr>
          <w:rFonts w:asciiTheme="minorEastAsia" w:eastAsiaTheme="minorEastAsia" w:hAnsiTheme="minorEastAsia"/>
          <w:b w:val="0"/>
          <w:snapToGrid w:val="0"/>
          <w:color w:val="auto"/>
          <w:sz w:val="28"/>
          <w:szCs w:val="28"/>
        </w:rPr>
        <w:t>松材线虫病</w:t>
      </w:r>
      <w:r>
        <w:rPr>
          <w:rFonts w:asciiTheme="minorEastAsia" w:eastAsiaTheme="minorEastAsia" w:hAnsiTheme="minorEastAsia" w:hint="eastAsia"/>
          <w:b w:val="0"/>
          <w:snapToGrid w:val="0"/>
          <w:color w:val="auto"/>
          <w:sz w:val="28"/>
          <w:szCs w:val="28"/>
        </w:rPr>
        <w:t>防控实施</w:t>
      </w:r>
      <w:r>
        <w:rPr>
          <w:rFonts w:asciiTheme="minorEastAsia" w:eastAsiaTheme="minorEastAsia" w:hAnsiTheme="minorEastAsia"/>
          <w:b w:val="0"/>
          <w:snapToGrid w:val="0"/>
          <w:color w:val="auto"/>
          <w:sz w:val="28"/>
          <w:szCs w:val="28"/>
        </w:rPr>
        <w:t>方案》</w:t>
      </w:r>
      <w:r>
        <w:rPr>
          <w:rFonts w:asciiTheme="minorEastAsia" w:eastAsiaTheme="minorEastAsia" w:hAnsiTheme="minorEastAsia" w:hint="eastAsia"/>
          <w:b w:val="0"/>
          <w:snapToGrid w:val="0"/>
          <w:color w:val="auto"/>
          <w:sz w:val="28"/>
          <w:szCs w:val="28"/>
        </w:rPr>
        <w:t>，适宜除害处理点为：清流县九龙湖木业有限公司（沙芜乡）、三明清流汇翔木业有限公司（沙芜乡）、清流县胜屿林业有限公司（赖坊镇）、清流县源昌木制品加工有限公司（田源乡）、清流县顺彬木业有限公司（余朋乡）、福建立兴林业有限公司（嵩口镇）、李家乡盛益木材加工经营部。安全利用指：利用粉碎机、切片机或旋切</w:t>
      </w:r>
      <w:r>
        <w:rPr>
          <w:rFonts w:asciiTheme="minorEastAsia" w:eastAsiaTheme="minorEastAsia" w:hAnsiTheme="minorEastAsia" w:hint="eastAsia"/>
          <w:b w:val="0"/>
          <w:snapToGrid w:val="0"/>
          <w:color w:val="auto"/>
          <w:sz w:val="28"/>
          <w:szCs w:val="28"/>
        </w:rPr>
        <w:t>机，将松木及</w:t>
      </w:r>
      <w:r>
        <w:rPr>
          <w:rFonts w:asciiTheme="minorEastAsia" w:eastAsiaTheme="minorEastAsia" w:hAnsiTheme="minorEastAsia"/>
          <w:b w:val="0"/>
          <w:snapToGrid w:val="0"/>
          <w:color w:val="auto"/>
          <w:sz w:val="28"/>
          <w:szCs w:val="28"/>
        </w:rPr>
        <w:t>1cm</w:t>
      </w:r>
      <w:r>
        <w:rPr>
          <w:rFonts w:asciiTheme="minorEastAsia" w:eastAsiaTheme="minorEastAsia" w:hAnsiTheme="minorEastAsia" w:hint="eastAsia"/>
          <w:b w:val="0"/>
          <w:snapToGrid w:val="0"/>
          <w:color w:val="auto"/>
          <w:sz w:val="28"/>
          <w:szCs w:val="28"/>
        </w:rPr>
        <w:t>以上的松枝条切成厚度小于</w:t>
      </w:r>
      <w:r>
        <w:rPr>
          <w:rFonts w:asciiTheme="minorEastAsia" w:eastAsiaTheme="minorEastAsia" w:hAnsiTheme="minorEastAsia"/>
          <w:b w:val="0"/>
          <w:snapToGrid w:val="0"/>
          <w:color w:val="auto"/>
          <w:sz w:val="28"/>
          <w:szCs w:val="28"/>
        </w:rPr>
        <w:t>6mm</w:t>
      </w:r>
      <w:r>
        <w:rPr>
          <w:rFonts w:asciiTheme="minorEastAsia" w:eastAsiaTheme="minorEastAsia" w:hAnsiTheme="minorEastAsia" w:hint="eastAsia"/>
          <w:b w:val="0"/>
          <w:snapToGrid w:val="0"/>
          <w:color w:val="auto"/>
          <w:sz w:val="28"/>
          <w:szCs w:val="28"/>
        </w:rPr>
        <w:t>的碎屑、小木片或旋切成单板；大于</w:t>
      </w:r>
      <w:r>
        <w:rPr>
          <w:rFonts w:asciiTheme="minorEastAsia" w:eastAsiaTheme="minorEastAsia" w:hAnsiTheme="minorEastAsia"/>
          <w:b w:val="0"/>
          <w:snapToGrid w:val="0"/>
          <w:color w:val="auto"/>
          <w:sz w:val="28"/>
          <w:szCs w:val="28"/>
        </w:rPr>
        <w:t>6mm</w:t>
      </w:r>
      <w:r>
        <w:rPr>
          <w:rFonts w:asciiTheme="minorEastAsia" w:eastAsiaTheme="minorEastAsia" w:hAnsiTheme="minorEastAsia" w:hint="eastAsia"/>
          <w:b w:val="0"/>
          <w:snapToGrid w:val="0"/>
          <w:color w:val="auto"/>
          <w:sz w:val="28"/>
          <w:szCs w:val="28"/>
        </w:rPr>
        <w:t>的剩余物必须就近或就地焚烧。</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12</w:t>
      </w:r>
      <w:r>
        <w:rPr>
          <w:rFonts w:asciiTheme="minorEastAsia" w:eastAsiaTheme="minorEastAsia" w:hAnsiTheme="minorEastAsia" w:hint="eastAsia"/>
          <w:b w:val="0"/>
          <w:snapToGrid w:val="0"/>
          <w:color w:val="auto"/>
          <w:sz w:val="28"/>
          <w:szCs w:val="28"/>
        </w:rPr>
        <w:t>、标的所有伐区内松类木材运出采伐山场时，买受人应在松木两端横断面喷红漆标志，同时按《福建省林业局关于进一步加强松材线虫病疫木监管工作的通知》（闽林〔</w:t>
      </w:r>
      <w:r>
        <w:rPr>
          <w:rFonts w:asciiTheme="minorEastAsia" w:eastAsiaTheme="minorEastAsia" w:hAnsiTheme="minorEastAsia" w:hint="eastAsia"/>
          <w:b w:val="0"/>
          <w:snapToGrid w:val="0"/>
          <w:color w:val="auto"/>
          <w:sz w:val="28"/>
          <w:szCs w:val="28"/>
        </w:rPr>
        <w:t>2022</w:t>
      </w:r>
      <w:r>
        <w:rPr>
          <w:rFonts w:asciiTheme="minorEastAsia" w:eastAsiaTheme="minorEastAsia" w:hAnsiTheme="minorEastAsia" w:hint="eastAsia"/>
          <w:b w:val="0"/>
          <w:snapToGrid w:val="0"/>
          <w:color w:val="auto"/>
          <w:sz w:val="28"/>
          <w:szCs w:val="28"/>
        </w:rPr>
        <w:t>〕</w:t>
      </w:r>
      <w:r>
        <w:rPr>
          <w:rFonts w:asciiTheme="minorEastAsia" w:eastAsiaTheme="minorEastAsia" w:hAnsiTheme="minorEastAsia" w:hint="eastAsia"/>
          <w:b w:val="0"/>
          <w:snapToGrid w:val="0"/>
          <w:color w:val="auto"/>
          <w:sz w:val="28"/>
          <w:szCs w:val="28"/>
        </w:rPr>
        <w:t>1</w:t>
      </w:r>
      <w:r>
        <w:rPr>
          <w:rFonts w:asciiTheme="minorEastAsia" w:eastAsiaTheme="minorEastAsia" w:hAnsiTheme="minorEastAsia" w:hint="eastAsia"/>
          <w:b w:val="0"/>
          <w:snapToGrid w:val="0"/>
          <w:color w:val="auto"/>
          <w:sz w:val="28"/>
          <w:szCs w:val="28"/>
        </w:rPr>
        <w:t>号）规定，由县级林业主管部门或伐区所在乡镇林业部门签发《检疫处理通知单》后运至指定的除害处理场（点）实施除害处理，做到一车一单</w:t>
      </w:r>
      <w:r>
        <w:rPr>
          <w:rFonts w:asciiTheme="minorEastAsia" w:eastAsiaTheme="minorEastAsia" w:hAnsiTheme="minorEastAsia"/>
          <w:b w:val="0"/>
          <w:snapToGrid w:val="0"/>
          <w:color w:val="auto"/>
          <w:sz w:val="28"/>
          <w:szCs w:val="28"/>
        </w:rPr>
        <w:t>。</w:t>
      </w:r>
      <w:r>
        <w:rPr>
          <w:rFonts w:asciiTheme="minorEastAsia" w:eastAsiaTheme="minorEastAsia" w:hAnsiTheme="minorEastAsia" w:hint="eastAsia"/>
          <w:b w:val="0"/>
          <w:snapToGrid w:val="0"/>
          <w:color w:val="auto"/>
          <w:sz w:val="28"/>
          <w:szCs w:val="28"/>
        </w:rPr>
        <w:t>疫木不得运往非疫点乡镇实施除害处理，也不得途经非疫点乡镇。</w:t>
      </w:r>
    </w:p>
    <w:p w:rsidR="00407FD3" w:rsidRDefault="00D17193">
      <w:pPr>
        <w:adjustRightInd w:val="0"/>
        <w:snapToGrid w:val="0"/>
        <w:spacing w:line="440" w:lineRule="exact"/>
        <w:ind w:firstLineChars="200" w:firstLine="560"/>
        <w:contextualSpacing/>
        <w:rPr>
          <w:rFonts w:asciiTheme="minorEastAsia" w:eastAsiaTheme="minorEastAsia" w:hAnsiTheme="minorEastAsia" w:cs="宋体"/>
          <w:b w:val="0"/>
          <w:snapToGrid w:val="0"/>
          <w:color w:val="auto"/>
          <w:sz w:val="28"/>
          <w:szCs w:val="28"/>
        </w:rPr>
      </w:pPr>
      <w:r>
        <w:rPr>
          <w:rFonts w:asciiTheme="minorEastAsia" w:eastAsiaTheme="minorEastAsia" w:hAnsiTheme="minorEastAsia" w:hint="eastAsia"/>
          <w:b w:val="0"/>
          <w:snapToGrid w:val="0"/>
          <w:color w:val="auto"/>
          <w:sz w:val="28"/>
          <w:szCs w:val="28"/>
        </w:rPr>
        <w:t>13</w:t>
      </w:r>
      <w:r>
        <w:rPr>
          <w:rFonts w:asciiTheme="minorEastAsia" w:eastAsiaTheme="minorEastAsia" w:hAnsiTheme="minorEastAsia" w:hint="eastAsia"/>
          <w:b w:val="0"/>
          <w:snapToGrid w:val="0"/>
          <w:color w:val="auto"/>
          <w:sz w:val="28"/>
          <w:szCs w:val="28"/>
        </w:rPr>
        <w:t>、买受人应做好木材生产销售等生产经营活动的安全生产管理工作，并自行承担安全主体责任。买受人在木材生产销售等生产经营活动过程中发生的一切安全事故和意外事故及造成任何第三方人身或财产损害等，其民事（包括但不限于经济赔偿或经济补偿等）和行政等法律责任均由买受人自行负责，转让方不承担任何经济和法律责</w:t>
      </w:r>
      <w:r>
        <w:rPr>
          <w:rFonts w:asciiTheme="minorEastAsia" w:eastAsiaTheme="minorEastAsia" w:hAnsiTheme="minorEastAsia" w:cs="宋体" w:hint="eastAsia"/>
          <w:b w:val="0"/>
          <w:snapToGrid w:val="0"/>
          <w:color w:val="auto"/>
          <w:sz w:val="28"/>
          <w:szCs w:val="28"/>
        </w:rPr>
        <w:t>任。如因此造成转让方损失的，买受人还应赔偿转让方相应损失。</w:t>
      </w:r>
    </w:p>
    <w:p w:rsidR="00407FD3" w:rsidRDefault="00D17193">
      <w:pPr>
        <w:adjustRightInd w:val="0"/>
        <w:snapToGrid w:val="0"/>
        <w:spacing w:line="440" w:lineRule="exact"/>
        <w:ind w:firstLineChars="200" w:firstLine="560"/>
        <w:contextualSpacing/>
        <w:rPr>
          <w:rFonts w:asciiTheme="minorEastAsia" w:eastAsiaTheme="minorEastAsia" w:hAnsiTheme="minorEastAsia" w:cs="宋体"/>
          <w:b w:val="0"/>
          <w:snapToGrid w:val="0"/>
          <w:color w:val="auto"/>
          <w:sz w:val="28"/>
          <w:szCs w:val="28"/>
        </w:rPr>
      </w:pPr>
      <w:r>
        <w:rPr>
          <w:rFonts w:asciiTheme="minorEastAsia" w:eastAsiaTheme="minorEastAsia" w:hAnsiTheme="minorEastAsia" w:cs="宋体" w:hint="eastAsia"/>
          <w:b w:val="0"/>
          <w:snapToGrid w:val="0"/>
          <w:color w:val="auto"/>
          <w:sz w:val="28"/>
          <w:szCs w:val="28"/>
        </w:rPr>
        <w:t>14</w:t>
      </w:r>
      <w:r>
        <w:rPr>
          <w:rFonts w:asciiTheme="minorEastAsia" w:eastAsiaTheme="minorEastAsia" w:hAnsiTheme="minorEastAsia" w:cs="宋体" w:hint="eastAsia"/>
          <w:b w:val="0"/>
          <w:snapToGrid w:val="0"/>
          <w:color w:val="auto"/>
          <w:sz w:val="28"/>
          <w:szCs w:val="28"/>
        </w:rPr>
        <w:t>、为了保障作业人员的合法权益，</w:t>
      </w:r>
      <w:r>
        <w:rPr>
          <w:rFonts w:asciiTheme="minorEastAsia" w:eastAsiaTheme="minorEastAsia" w:hAnsiTheme="minorEastAsia" w:hint="eastAsia"/>
          <w:b w:val="0"/>
          <w:snapToGrid w:val="0"/>
          <w:color w:val="auto"/>
          <w:sz w:val="28"/>
          <w:szCs w:val="28"/>
        </w:rPr>
        <w:t>买受人的</w:t>
      </w:r>
      <w:r>
        <w:rPr>
          <w:rFonts w:asciiTheme="minorEastAsia" w:eastAsiaTheme="minorEastAsia" w:hAnsiTheme="minorEastAsia" w:cs="宋体" w:hint="eastAsia"/>
          <w:b w:val="0"/>
          <w:snapToGrid w:val="0"/>
          <w:color w:val="auto"/>
          <w:sz w:val="28"/>
          <w:szCs w:val="28"/>
        </w:rPr>
        <w:t>所有进场施工队伍</w:t>
      </w:r>
      <w:r>
        <w:rPr>
          <w:rFonts w:asciiTheme="minorEastAsia" w:eastAsiaTheme="minorEastAsia" w:hAnsiTheme="minorEastAsia" w:cs="宋体" w:hint="eastAsia"/>
          <w:b w:val="0"/>
          <w:snapToGrid w:val="0"/>
          <w:color w:val="auto"/>
          <w:sz w:val="28"/>
          <w:szCs w:val="28"/>
        </w:rPr>
        <w:lastRenderedPageBreak/>
        <w:t>必须在生产作业之前</w:t>
      </w:r>
      <w:r>
        <w:rPr>
          <w:rFonts w:asciiTheme="minorEastAsia" w:eastAsiaTheme="minorEastAsia" w:hAnsiTheme="minorEastAsia" w:cs="宋体" w:hint="eastAsia"/>
          <w:b w:val="0"/>
          <w:snapToGrid w:val="0"/>
          <w:color w:val="auto"/>
          <w:spacing w:val="-2"/>
          <w:sz w:val="28"/>
          <w:szCs w:val="28"/>
        </w:rPr>
        <w:t>对所有从业人员进行岗前安全培训并</w:t>
      </w:r>
      <w:r>
        <w:rPr>
          <w:rFonts w:asciiTheme="minorEastAsia" w:eastAsiaTheme="minorEastAsia" w:hAnsiTheme="minorEastAsia" w:cs="宋体" w:hint="eastAsia"/>
          <w:b w:val="0"/>
          <w:snapToGrid w:val="0"/>
          <w:color w:val="auto"/>
          <w:sz w:val="28"/>
          <w:szCs w:val="28"/>
        </w:rPr>
        <w:t>购买足额的雇主责任险与场地责任险，所选保险公司需</w:t>
      </w:r>
      <w:r>
        <w:rPr>
          <w:rFonts w:asciiTheme="minorEastAsia" w:eastAsiaTheme="minorEastAsia" w:hAnsiTheme="minorEastAsia" w:cs="宋体" w:hint="eastAsia"/>
          <w:b w:val="0"/>
          <w:snapToGrid w:val="0"/>
          <w:color w:val="auto"/>
          <w:sz w:val="28"/>
          <w:szCs w:val="28"/>
        </w:rPr>
        <w:t>在三明域内设有理赔服务机构，确保出险后快速查勘理赔。雇主责任险投保的赔付标准</w:t>
      </w:r>
      <w:r>
        <w:rPr>
          <w:rFonts w:asciiTheme="minorEastAsia" w:eastAsiaTheme="minorEastAsia" w:hAnsiTheme="minorEastAsia" w:cs="宋体" w:hint="eastAsia"/>
          <w:b w:val="0"/>
          <w:snapToGrid w:val="0"/>
          <w:color w:val="auto"/>
          <w:sz w:val="28"/>
          <w:szCs w:val="28"/>
        </w:rPr>
        <w:t>:</w:t>
      </w:r>
      <w:r>
        <w:rPr>
          <w:rFonts w:asciiTheme="minorEastAsia" w:eastAsiaTheme="minorEastAsia" w:hAnsiTheme="minorEastAsia" w:cs="宋体" w:hint="eastAsia"/>
          <w:b w:val="0"/>
          <w:snapToGrid w:val="0"/>
          <w:color w:val="auto"/>
          <w:sz w:val="28"/>
          <w:szCs w:val="28"/>
        </w:rPr>
        <w:t>单人死亡赔偿金不得低于</w:t>
      </w:r>
      <w:r>
        <w:rPr>
          <w:rFonts w:asciiTheme="minorEastAsia" w:eastAsiaTheme="minorEastAsia" w:hAnsiTheme="minorEastAsia" w:cs="宋体" w:hint="eastAsia"/>
          <w:b w:val="0"/>
          <w:snapToGrid w:val="0"/>
          <w:color w:val="auto"/>
          <w:sz w:val="28"/>
          <w:szCs w:val="28"/>
        </w:rPr>
        <w:t>80</w:t>
      </w:r>
      <w:r>
        <w:rPr>
          <w:rFonts w:asciiTheme="minorEastAsia" w:eastAsiaTheme="minorEastAsia" w:hAnsiTheme="minorEastAsia" w:cs="宋体" w:hint="eastAsia"/>
          <w:b w:val="0"/>
          <w:snapToGrid w:val="0"/>
          <w:color w:val="auto"/>
          <w:sz w:val="28"/>
          <w:szCs w:val="28"/>
        </w:rPr>
        <w:t>万元，场地责任险投保的赔付标准</w:t>
      </w:r>
      <w:r>
        <w:rPr>
          <w:rFonts w:asciiTheme="minorEastAsia" w:eastAsiaTheme="minorEastAsia" w:hAnsiTheme="minorEastAsia" w:cs="宋体" w:hint="eastAsia"/>
          <w:b w:val="0"/>
          <w:snapToGrid w:val="0"/>
          <w:color w:val="auto"/>
          <w:sz w:val="28"/>
          <w:szCs w:val="28"/>
        </w:rPr>
        <w:t>:</w:t>
      </w:r>
      <w:r>
        <w:rPr>
          <w:rFonts w:asciiTheme="minorEastAsia" w:eastAsiaTheme="minorEastAsia" w:hAnsiTheme="minorEastAsia" w:cs="宋体" w:hint="eastAsia"/>
          <w:b w:val="0"/>
          <w:snapToGrid w:val="0"/>
          <w:color w:val="auto"/>
          <w:sz w:val="28"/>
          <w:szCs w:val="28"/>
        </w:rPr>
        <w:t>赔偿额不得低于</w:t>
      </w:r>
      <w:r>
        <w:rPr>
          <w:rFonts w:asciiTheme="minorEastAsia" w:eastAsiaTheme="minorEastAsia" w:hAnsiTheme="minorEastAsia" w:cs="宋体" w:hint="eastAsia"/>
          <w:b w:val="0"/>
          <w:snapToGrid w:val="0"/>
          <w:color w:val="auto"/>
          <w:sz w:val="28"/>
          <w:szCs w:val="28"/>
        </w:rPr>
        <w:t>100</w:t>
      </w:r>
      <w:r>
        <w:rPr>
          <w:rFonts w:asciiTheme="minorEastAsia" w:eastAsiaTheme="minorEastAsia" w:hAnsiTheme="minorEastAsia" w:cs="宋体" w:hint="eastAsia"/>
          <w:b w:val="0"/>
          <w:snapToGrid w:val="0"/>
          <w:color w:val="auto"/>
          <w:sz w:val="28"/>
          <w:szCs w:val="28"/>
        </w:rPr>
        <w:t>万元，未按标准足额投保的，禁止施工队进场开展一切林业作业。并承担一切安全事故所造成赔付金额不足的经济赔偿责任。</w:t>
      </w:r>
    </w:p>
    <w:p w:rsidR="00407FD3" w:rsidRDefault="00D17193">
      <w:pPr>
        <w:adjustRightInd w:val="0"/>
        <w:snapToGrid w:val="0"/>
        <w:spacing w:line="440" w:lineRule="exact"/>
        <w:ind w:firstLineChars="200" w:firstLine="560"/>
        <w:contextualSpacing/>
        <w:rPr>
          <w:rFonts w:asciiTheme="minorEastAsia" w:eastAsiaTheme="minorEastAsia" w:hAnsiTheme="minorEastAsia" w:cs="宋体"/>
          <w:b w:val="0"/>
          <w:snapToGrid w:val="0"/>
          <w:color w:val="auto"/>
          <w:sz w:val="28"/>
          <w:szCs w:val="28"/>
        </w:rPr>
      </w:pPr>
      <w:r>
        <w:rPr>
          <w:rFonts w:asciiTheme="minorEastAsia" w:eastAsiaTheme="minorEastAsia" w:hAnsiTheme="minorEastAsia" w:cs="宋体" w:hint="eastAsia"/>
          <w:b w:val="0"/>
          <w:snapToGrid w:val="0"/>
          <w:color w:val="auto"/>
          <w:sz w:val="28"/>
          <w:szCs w:val="28"/>
        </w:rPr>
        <w:t>15</w:t>
      </w:r>
      <w:r>
        <w:rPr>
          <w:rFonts w:asciiTheme="minorEastAsia" w:eastAsiaTheme="minorEastAsia" w:hAnsiTheme="minorEastAsia" w:cs="宋体" w:hint="eastAsia"/>
          <w:b w:val="0"/>
          <w:snapToGrid w:val="0"/>
          <w:color w:val="auto"/>
          <w:sz w:val="28"/>
          <w:szCs w:val="28"/>
        </w:rPr>
        <w:t>、</w:t>
      </w:r>
      <w:r>
        <w:rPr>
          <w:rFonts w:asciiTheme="minorEastAsia" w:eastAsiaTheme="minorEastAsia" w:hAnsiTheme="minorEastAsia" w:hint="eastAsia"/>
          <w:b w:val="0"/>
          <w:snapToGrid w:val="0"/>
          <w:color w:val="auto"/>
          <w:sz w:val="28"/>
          <w:szCs w:val="28"/>
        </w:rPr>
        <w:t>买受人的施工队伍在生产施工期间，</w:t>
      </w:r>
      <w:r>
        <w:rPr>
          <w:rFonts w:asciiTheme="minorEastAsia" w:eastAsiaTheme="minorEastAsia" w:hAnsiTheme="minorEastAsia" w:cs="宋体" w:hint="eastAsia"/>
          <w:b w:val="0"/>
          <w:snapToGrid w:val="0"/>
          <w:color w:val="auto"/>
          <w:sz w:val="28"/>
          <w:szCs w:val="28"/>
        </w:rPr>
        <w:t>转让方有权检查其安全生产工作。每发现一起违规安全生产行为（包括但不限于：</w:t>
      </w:r>
      <w:r>
        <w:rPr>
          <w:rFonts w:asciiTheme="minorEastAsia" w:eastAsiaTheme="minorEastAsia" w:hAnsiTheme="minorEastAsia" w:cs="宋体" w:hint="eastAsia"/>
          <w:b w:val="0"/>
          <w:snapToGrid w:val="0"/>
          <w:color w:val="auto"/>
          <w:spacing w:val="-2"/>
          <w:sz w:val="28"/>
          <w:szCs w:val="28"/>
        </w:rPr>
        <w:t>安全培训不合格、未按要求购买</w:t>
      </w:r>
      <w:r>
        <w:rPr>
          <w:rFonts w:asciiTheme="minorEastAsia" w:eastAsiaTheme="minorEastAsia" w:hAnsiTheme="minorEastAsia" w:cs="宋体" w:hint="eastAsia"/>
          <w:b w:val="0"/>
          <w:snapToGrid w:val="0"/>
          <w:color w:val="auto"/>
          <w:sz w:val="28"/>
          <w:szCs w:val="28"/>
        </w:rPr>
        <w:t>足额的雇主责任险与场地责任险、违规或违章操作、未正确穿戴和使用安全防护用品等），第一次发现</w:t>
      </w:r>
      <w:r>
        <w:rPr>
          <w:rFonts w:ascii="宋体" w:hAnsi="宋体" w:hint="eastAsia"/>
          <w:b w:val="0"/>
          <w:color w:val="auto"/>
          <w:sz w:val="28"/>
          <w:szCs w:val="28"/>
        </w:rPr>
        <w:t>责令整改；第二次</w:t>
      </w:r>
      <w:r>
        <w:rPr>
          <w:rFonts w:asciiTheme="minorEastAsia" w:eastAsiaTheme="minorEastAsia" w:hAnsiTheme="minorEastAsia" w:cs="宋体" w:hint="eastAsia"/>
          <w:b w:val="0"/>
          <w:snapToGrid w:val="0"/>
          <w:color w:val="auto"/>
          <w:sz w:val="28"/>
          <w:szCs w:val="28"/>
        </w:rPr>
        <w:t>扣</w:t>
      </w:r>
      <w:r>
        <w:rPr>
          <w:rFonts w:ascii="宋体" w:hAnsi="宋体" w:hint="eastAsia"/>
          <w:b w:val="0"/>
          <w:color w:val="auto"/>
          <w:sz w:val="28"/>
          <w:szCs w:val="28"/>
        </w:rPr>
        <w:t>活立木转让履约保证金</w:t>
      </w:r>
      <w:r>
        <w:rPr>
          <w:rFonts w:ascii="宋体" w:hAnsi="宋体" w:hint="eastAsia"/>
          <w:b w:val="0"/>
          <w:color w:val="auto"/>
          <w:sz w:val="28"/>
          <w:szCs w:val="28"/>
        </w:rPr>
        <w:t>200</w:t>
      </w:r>
      <w:r>
        <w:rPr>
          <w:rFonts w:ascii="宋体" w:hAnsi="宋体" w:hint="eastAsia"/>
          <w:b w:val="0"/>
          <w:color w:val="auto"/>
          <w:sz w:val="28"/>
          <w:szCs w:val="28"/>
        </w:rPr>
        <w:t>元；第三次及以上每次</w:t>
      </w:r>
      <w:r>
        <w:rPr>
          <w:rFonts w:asciiTheme="minorEastAsia" w:eastAsiaTheme="minorEastAsia" w:hAnsiTheme="minorEastAsia" w:cs="宋体" w:hint="eastAsia"/>
          <w:b w:val="0"/>
          <w:snapToGrid w:val="0"/>
          <w:color w:val="auto"/>
          <w:sz w:val="28"/>
          <w:szCs w:val="28"/>
        </w:rPr>
        <w:t>扣</w:t>
      </w:r>
      <w:r>
        <w:rPr>
          <w:rFonts w:ascii="宋体" w:hAnsi="宋体" w:hint="eastAsia"/>
          <w:b w:val="0"/>
          <w:color w:val="auto"/>
          <w:sz w:val="28"/>
          <w:szCs w:val="28"/>
        </w:rPr>
        <w:t>500</w:t>
      </w:r>
      <w:r>
        <w:rPr>
          <w:rFonts w:ascii="宋体" w:hAnsi="宋体" w:hint="eastAsia"/>
          <w:b w:val="0"/>
          <w:color w:val="auto"/>
          <w:sz w:val="28"/>
          <w:szCs w:val="28"/>
        </w:rPr>
        <w:t>元。</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16</w:t>
      </w:r>
      <w:r>
        <w:rPr>
          <w:rFonts w:asciiTheme="minorEastAsia" w:eastAsiaTheme="minorEastAsia" w:hAnsiTheme="minorEastAsia" w:hint="eastAsia"/>
          <w:b w:val="0"/>
          <w:snapToGrid w:val="0"/>
          <w:color w:val="auto"/>
          <w:sz w:val="28"/>
          <w:szCs w:val="28"/>
        </w:rPr>
        <w:t>、买受人的施工队伍在生产施工期间，应遵守野外用火规定，做好用火安全。不得将火源带入作业山场，禁止在作业现场内吸烟，工棚四周必须开设防火隔离带，严禁未批野外用火。</w:t>
      </w:r>
      <w:r>
        <w:rPr>
          <w:rFonts w:ascii="宋体" w:hAnsi="宋体" w:hint="eastAsia"/>
          <w:b w:val="0"/>
          <w:color w:val="auto"/>
          <w:sz w:val="28"/>
          <w:szCs w:val="28"/>
        </w:rPr>
        <w:t>一旦发生火警、火灾，要科学避险并立即向转让方报告，不要盲目组织从业人员冒险扑救。</w:t>
      </w:r>
      <w:r>
        <w:rPr>
          <w:rFonts w:asciiTheme="minorEastAsia" w:eastAsiaTheme="minorEastAsia" w:hAnsiTheme="minorEastAsia" w:hint="eastAsia"/>
          <w:b w:val="0"/>
          <w:snapToGrid w:val="0"/>
          <w:color w:val="auto"/>
          <w:sz w:val="28"/>
          <w:szCs w:val="28"/>
        </w:rPr>
        <w:t>如因野外用火引起火灾事故的，其法律责任和经济责任均由买受人承担。</w:t>
      </w:r>
    </w:p>
    <w:p w:rsidR="00407FD3" w:rsidRDefault="00D17193">
      <w:pPr>
        <w:adjustRightInd w:val="0"/>
        <w:snapToGrid w:val="0"/>
        <w:spacing w:line="44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17</w:t>
      </w:r>
      <w:r>
        <w:rPr>
          <w:rFonts w:asciiTheme="minorEastAsia" w:eastAsiaTheme="minorEastAsia" w:hAnsiTheme="minorEastAsia" w:hint="eastAsia"/>
          <w:b w:val="0"/>
          <w:snapToGrid w:val="0"/>
          <w:color w:val="auto"/>
          <w:sz w:val="28"/>
          <w:szCs w:val="28"/>
        </w:rPr>
        <w:t>、买受人的施工队伍在木材生产销售过程中，应保护好林区的生态环境，生活垃圾必须挖坑填埋且远离水源。造成的损害（如水源污染纠纷等），买受人自</w:t>
      </w:r>
      <w:r>
        <w:rPr>
          <w:rFonts w:asciiTheme="minorEastAsia" w:eastAsiaTheme="minorEastAsia" w:hAnsiTheme="minorEastAsia" w:hint="eastAsia"/>
          <w:b w:val="0"/>
          <w:snapToGrid w:val="0"/>
          <w:color w:val="auto"/>
          <w:sz w:val="28"/>
          <w:szCs w:val="28"/>
        </w:rPr>
        <w:t>行承担赔偿或补偿及相关的法律责任。</w:t>
      </w:r>
    </w:p>
    <w:p w:rsidR="00407FD3" w:rsidRDefault="00D17193">
      <w:pPr>
        <w:adjustRightInd w:val="0"/>
        <w:snapToGrid w:val="0"/>
        <w:spacing w:line="440" w:lineRule="exact"/>
        <w:ind w:firstLineChars="200" w:firstLine="562"/>
        <w:contextualSpacing/>
        <w:rPr>
          <w:rFonts w:asciiTheme="minorEastAsia" w:eastAsiaTheme="minorEastAsia" w:hAnsiTheme="minorEastAsia" w:cs="宋体"/>
          <w:bCs/>
          <w:snapToGrid w:val="0"/>
          <w:color w:val="auto"/>
          <w:sz w:val="28"/>
          <w:szCs w:val="28"/>
        </w:rPr>
      </w:pPr>
      <w:r>
        <w:rPr>
          <w:rFonts w:asciiTheme="minorEastAsia" w:eastAsiaTheme="minorEastAsia" w:hAnsiTheme="minorEastAsia" w:hint="eastAsia"/>
          <w:snapToGrid w:val="0"/>
          <w:color w:val="auto"/>
          <w:sz w:val="28"/>
          <w:szCs w:val="28"/>
        </w:rPr>
        <w:t>七、财务结算</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snapToGrid w:val="0"/>
          <w:color w:val="auto"/>
          <w:sz w:val="28"/>
          <w:szCs w:val="28"/>
        </w:rPr>
        <w:t>（一）</w:t>
      </w:r>
      <w:r>
        <w:rPr>
          <w:rFonts w:asciiTheme="minorEastAsia" w:eastAsiaTheme="minorEastAsia" w:hAnsiTheme="minorEastAsia" w:hint="eastAsia"/>
          <w:b w:val="0"/>
          <w:snapToGrid w:val="0"/>
          <w:color w:val="auto"/>
          <w:sz w:val="28"/>
          <w:szCs w:val="28"/>
        </w:rPr>
        <w:t>成交价款必须以银行转账方式缴交。</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snapToGrid w:val="0"/>
          <w:color w:val="auto"/>
          <w:sz w:val="28"/>
          <w:szCs w:val="28"/>
        </w:rPr>
        <w:t>（二）</w:t>
      </w:r>
      <w:r>
        <w:rPr>
          <w:rFonts w:asciiTheme="minorEastAsia" w:eastAsiaTheme="minorEastAsia" w:hAnsiTheme="minorEastAsia" w:hint="eastAsia"/>
          <w:b w:val="0"/>
          <w:snapToGrid w:val="0"/>
          <w:color w:val="auto"/>
          <w:sz w:val="28"/>
          <w:szCs w:val="28"/>
        </w:rPr>
        <w:t>转让方根据现行税法、发票管理办法等规定，于伐区木材生产销售结束后向买受人提供相关票据，开具木材销售发票总金额不得超过成交价款±增量</w:t>
      </w:r>
      <w:r>
        <w:rPr>
          <w:rFonts w:asciiTheme="minorEastAsia" w:eastAsiaTheme="minorEastAsia" w:hAnsiTheme="minorEastAsia" w:hint="eastAsia"/>
          <w:b w:val="0"/>
          <w:snapToGrid w:val="0"/>
          <w:color w:val="auto"/>
          <w:sz w:val="28"/>
          <w:szCs w:val="28"/>
        </w:rPr>
        <w:t>/</w:t>
      </w:r>
      <w:r>
        <w:rPr>
          <w:rFonts w:asciiTheme="minorEastAsia" w:eastAsiaTheme="minorEastAsia" w:hAnsiTheme="minorEastAsia" w:hint="eastAsia"/>
          <w:b w:val="0"/>
          <w:bCs/>
          <w:snapToGrid w:val="0"/>
          <w:color w:val="auto"/>
          <w:sz w:val="28"/>
          <w:szCs w:val="28"/>
        </w:rPr>
        <w:t>核减</w:t>
      </w:r>
      <w:r>
        <w:rPr>
          <w:rFonts w:asciiTheme="minorEastAsia" w:eastAsiaTheme="minorEastAsia" w:hAnsiTheme="minorEastAsia" w:hint="eastAsia"/>
          <w:b w:val="0"/>
          <w:snapToGrid w:val="0"/>
          <w:color w:val="auto"/>
          <w:sz w:val="28"/>
          <w:szCs w:val="28"/>
        </w:rPr>
        <w:t>部分价款，买受人应严格按税务要求规范使用木材发票。</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snapToGrid w:val="0"/>
          <w:color w:val="auto"/>
          <w:sz w:val="28"/>
          <w:szCs w:val="28"/>
        </w:rPr>
        <w:t>（三）</w:t>
      </w:r>
      <w:r>
        <w:rPr>
          <w:rFonts w:asciiTheme="minorEastAsia" w:eastAsiaTheme="minorEastAsia" w:hAnsiTheme="minorEastAsia" w:hint="eastAsia"/>
          <w:b w:val="0"/>
          <w:snapToGrid w:val="0"/>
          <w:color w:val="auto"/>
          <w:sz w:val="28"/>
          <w:szCs w:val="28"/>
        </w:rPr>
        <w:t>活立木转让履约保证金待伐区验收合格并向转让方移交采伐迹地后</w:t>
      </w:r>
      <w:r>
        <w:rPr>
          <w:rFonts w:asciiTheme="minorEastAsia" w:eastAsiaTheme="minorEastAsia" w:hAnsiTheme="minorEastAsia" w:hint="eastAsia"/>
          <w:b w:val="0"/>
          <w:snapToGrid w:val="0"/>
          <w:color w:val="auto"/>
          <w:sz w:val="28"/>
          <w:szCs w:val="28"/>
        </w:rPr>
        <w:t>1</w:t>
      </w:r>
      <w:r>
        <w:rPr>
          <w:rFonts w:asciiTheme="minorEastAsia" w:eastAsiaTheme="minorEastAsia" w:hAnsiTheme="minorEastAsia"/>
          <w:b w:val="0"/>
          <w:snapToGrid w:val="0"/>
          <w:color w:val="auto"/>
          <w:sz w:val="28"/>
          <w:szCs w:val="28"/>
        </w:rPr>
        <w:t>5</w:t>
      </w:r>
      <w:r>
        <w:rPr>
          <w:rFonts w:asciiTheme="minorEastAsia" w:eastAsiaTheme="minorEastAsia" w:hAnsiTheme="minorEastAsia" w:hint="eastAsia"/>
          <w:b w:val="0"/>
          <w:snapToGrid w:val="0"/>
          <w:color w:val="auto"/>
          <w:sz w:val="28"/>
          <w:szCs w:val="28"/>
        </w:rPr>
        <w:t>个工作日内，视买受人履约情况予以结清，且不计息。</w:t>
      </w:r>
    </w:p>
    <w:p w:rsidR="00407FD3" w:rsidRDefault="00D17193">
      <w:pPr>
        <w:adjustRightInd w:val="0"/>
        <w:snapToGrid w:val="0"/>
        <w:spacing w:line="440" w:lineRule="exact"/>
        <w:ind w:firstLineChars="200" w:firstLine="562"/>
        <w:contextualSpacing/>
        <w:rPr>
          <w:rFonts w:asciiTheme="minorEastAsia" w:eastAsiaTheme="minorEastAsia" w:hAnsiTheme="minorEastAsia"/>
          <w:snapToGrid w:val="0"/>
          <w:color w:val="auto"/>
          <w:sz w:val="28"/>
          <w:szCs w:val="28"/>
        </w:rPr>
      </w:pPr>
      <w:r>
        <w:rPr>
          <w:rFonts w:asciiTheme="minorEastAsia" w:eastAsiaTheme="minorEastAsia" w:hAnsiTheme="minorEastAsia" w:hint="eastAsia"/>
          <w:snapToGrid w:val="0"/>
          <w:color w:val="auto"/>
          <w:sz w:val="28"/>
          <w:szCs w:val="28"/>
        </w:rPr>
        <w:t>八、伐区验收</w:t>
      </w:r>
    </w:p>
    <w:p w:rsidR="00407FD3" w:rsidRDefault="00D17193">
      <w:pPr>
        <w:adjustRightInd w:val="0"/>
        <w:snapToGrid w:val="0"/>
        <w:spacing w:line="440" w:lineRule="exact"/>
        <w:ind w:firstLineChars="200" w:firstLine="562"/>
        <w:contextualSpacing/>
        <w:rPr>
          <w:rFonts w:asciiTheme="minorEastAsia" w:eastAsiaTheme="minorEastAsia" w:hAnsiTheme="minorEastAsia"/>
          <w:snapToGrid w:val="0"/>
          <w:color w:val="auto"/>
          <w:sz w:val="28"/>
          <w:szCs w:val="28"/>
        </w:rPr>
      </w:pPr>
      <w:r>
        <w:rPr>
          <w:rFonts w:asciiTheme="minorEastAsia" w:eastAsiaTheme="minorEastAsia" w:hAnsiTheme="minorEastAsia" w:hint="eastAsia"/>
          <w:snapToGrid w:val="0"/>
          <w:color w:val="auto"/>
          <w:sz w:val="28"/>
          <w:szCs w:val="28"/>
        </w:rPr>
        <w:t>（一）</w:t>
      </w:r>
      <w:r>
        <w:rPr>
          <w:rFonts w:asciiTheme="minorEastAsia" w:eastAsiaTheme="minorEastAsia" w:hAnsiTheme="minorEastAsia" w:hint="eastAsia"/>
          <w:b w:val="0"/>
          <w:snapToGrid w:val="0"/>
          <w:color w:val="auto"/>
          <w:sz w:val="28"/>
          <w:szCs w:val="28"/>
        </w:rPr>
        <w:t>买受人在伐区采伐作业完成后</w:t>
      </w:r>
      <w:r>
        <w:rPr>
          <w:rFonts w:asciiTheme="minorEastAsia" w:eastAsiaTheme="minorEastAsia" w:hAnsiTheme="minorEastAsia" w:hint="eastAsia"/>
          <w:b w:val="0"/>
          <w:snapToGrid w:val="0"/>
          <w:color w:val="auto"/>
          <w:sz w:val="28"/>
          <w:szCs w:val="28"/>
        </w:rPr>
        <w:t>3</w:t>
      </w:r>
      <w:r>
        <w:rPr>
          <w:rFonts w:asciiTheme="minorEastAsia" w:eastAsiaTheme="minorEastAsia" w:hAnsiTheme="minorEastAsia" w:hint="eastAsia"/>
          <w:b w:val="0"/>
          <w:snapToGrid w:val="0"/>
          <w:color w:val="auto"/>
          <w:sz w:val="28"/>
          <w:szCs w:val="28"/>
        </w:rPr>
        <w:t>天内向转让方申请验收。转让方根据有关规定对伐区进行作业质量验收。</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bCs/>
          <w:snapToGrid w:val="0"/>
          <w:color w:val="auto"/>
          <w:sz w:val="28"/>
          <w:szCs w:val="28"/>
        </w:rPr>
      </w:pPr>
      <w:r>
        <w:rPr>
          <w:rFonts w:asciiTheme="minorEastAsia" w:eastAsiaTheme="minorEastAsia" w:hAnsiTheme="minorEastAsia" w:hint="eastAsia"/>
          <w:snapToGrid w:val="0"/>
          <w:color w:val="auto"/>
          <w:sz w:val="28"/>
          <w:szCs w:val="28"/>
        </w:rPr>
        <w:lastRenderedPageBreak/>
        <w:t>（二）</w:t>
      </w:r>
      <w:r>
        <w:rPr>
          <w:rFonts w:asciiTheme="minorEastAsia" w:eastAsiaTheme="minorEastAsia" w:hAnsiTheme="minorEastAsia" w:hint="eastAsia"/>
          <w:b w:val="0"/>
          <w:snapToGrid w:val="0"/>
          <w:color w:val="auto"/>
          <w:sz w:val="28"/>
          <w:szCs w:val="28"/>
        </w:rPr>
        <w:t>伐区验收由转让方、买受人现场确认，验收合格并经双方签字确认后</w:t>
      </w:r>
      <w:r>
        <w:rPr>
          <w:rFonts w:asciiTheme="minorEastAsia" w:eastAsiaTheme="minorEastAsia" w:hAnsiTheme="minorEastAsia" w:hint="eastAsia"/>
          <w:b w:val="0"/>
          <w:snapToGrid w:val="0"/>
          <w:color w:val="auto"/>
          <w:sz w:val="28"/>
          <w:szCs w:val="28"/>
        </w:rPr>
        <w:t>1</w:t>
      </w:r>
      <w:r>
        <w:rPr>
          <w:rFonts w:asciiTheme="minorEastAsia" w:eastAsiaTheme="minorEastAsia" w:hAnsiTheme="minorEastAsia"/>
          <w:b w:val="0"/>
          <w:snapToGrid w:val="0"/>
          <w:color w:val="auto"/>
          <w:sz w:val="28"/>
          <w:szCs w:val="28"/>
        </w:rPr>
        <w:t>5</w:t>
      </w:r>
      <w:r>
        <w:rPr>
          <w:rFonts w:asciiTheme="minorEastAsia" w:eastAsiaTheme="minorEastAsia" w:hAnsiTheme="minorEastAsia" w:hint="eastAsia"/>
          <w:b w:val="0"/>
          <w:snapToGrid w:val="0"/>
          <w:color w:val="auto"/>
          <w:sz w:val="28"/>
          <w:szCs w:val="28"/>
        </w:rPr>
        <w:t>个工作日内，转让方必须向买受人</w:t>
      </w:r>
      <w:r>
        <w:rPr>
          <w:rFonts w:asciiTheme="minorEastAsia" w:eastAsiaTheme="minorEastAsia" w:hAnsiTheme="minorEastAsia" w:hint="eastAsia"/>
          <w:b w:val="0"/>
          <w:bCs/>
          <w:snapToGrid w:val="0"/>
          <w:color w:val="auto"/>
          <w:sz w:val="28"/>
          <w:szCs w:val="28"/>
        </w:rPr>
        <w:t>办清有关手续。</w:t>
      </w:r>
    </w:p>
    <w:p w:rsidR="00407FD3" w:rsidRDefault="00D17193">
      <w:pPr>
        <w:adjustRightInd w:val="0"/>
        <w:snapToGrid w:val="0"/>
        <w:spacing w:line="440" w:lineRule="exact"/>
        <w:ind w:firstLineChars="200" w:firstLine="562"/>
        <w:contextualSpacing/>
        <w:rPr>
          <w:rFonts w:asciiTheme="minorEastAsia" w:eastAsiaTheme="minorEastAsia" w:hAnsiTheme="minorEastAsia"/>
          <w:bCs/>
          <w:snapToGrid w:val="0"/>
          <w:color w:val="auto"/>
          <w:sz w:val="28"/>
          <w:szCs w:val="28"/>
        </w:rPr>
      </w:pPr>
      <w:r>
        <w:rPr>
          <w:rFonts w:asciiTheme="minorEastAsia" w:eastAsiaTheme="minorEastAsia" w:hAnsiTheme="minorEastAsia" w:hint="eastAsia"/>
          <w:bCs/>
          <w:snapToGrid w:val="0"/>
          <w:color w:val="auto"/>
          <w:sz w:val="28"/>
          <w:szCs w:val="28"/>
        </w:rPr>
        <w:t>九、违约责任</w:t>
      </w:r>
    </w:p>
    <w:p w:rsidR="00407FD3" w:rsidRDefault="00D17193">
      <w:pPr>
        <w:adjustRightInd w:val="0"/>
        <w:snapToGrid w:val="0"/>
        <w:spacing w:line="440" w:lineRule="exact"/>
        <w:ind w:firstLineChars="200" w:firstLine="562"/>
        <w:contextualSpacing/>
        <w:rPr>
          <w:rFonts w:asciiTheme="minorEastAsia" w:eastAsiaTheme="minorEastAsia" w:hAnsiTheme="minorEastAsia"/>
          <w:bCs/>
          <w:snapToGrid w:val="0"/>
          <w:color w:val="auto"/>
          <w:sz w:val="28"/>
          <w:szCs w:val="28"/>
        </w:rPr>
      </w:pPr>
      <w:r>
        <w:rPr>
          <w:rFonts w:asciiTheme="minorEastAsia" w:eastAsiaTheme="minorEastAsia" w:hAnsiTheme="minorEastAsia" w:hint="eastAsia"/>
          <w:bCs/>
          <w:snapToGrid w:val="0"/>
          <w:color w:val="auto"/>
          <w:sz w:val="28"/>
          <w:szCs w:val="28"/>
        </w:rPr>
        <w:t>（一）</w:t>
      </w:r>
      <w:r>
        <w:rPr>
          <w:rFonts w:asciiTheme="minorEastAsia" w:eastAsiaTheme="minorEastAsia" w:hAnsiTheme="minorEastAsia" w:hint="eastAsia"/>
          <w:b w:val="0"/>
          <w:bCs/>
          <w:snapToGrid w:val="0"/>
          <w:color w:val="auto"/>
          <w:sz w:val="28"/>
          <w:szCs w:val="28"/>
        </w:rPr>
        <w:t>转让方未按期拨交活立木并交付《林木采伐许可证》，应赔偿</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误工等损失</w:t>
      </w:r>
      <w:r>
        <w:rPr>
          <w:rFonts w:asciiTheme="minorEastAsia" w:eastAsiaTheme="minorEastAsia" w:hAnsiTheme="minorEastAsia" w:hint="eastAsia"/>
          <w:b w:val="0"/>
          <w:bCs/>
          <w:snapToGrid w:val="0"/>
          <w:color w:val="auto"/>
          <w:sz w:val="28"/>
          <w:szCs w:val="28"/>
        </w:rPr>
        <w:t>1000</w:t>
      </w:r>
      <w:r>
        <w:rPr>
          <w:rFonts w:asciiTheme="minorEastAsia" w:eastAsiaTheme="minorEastAsia" w:hAnsiTheme="minorEastAsia" w:hint="eastAsia"/>
          <w:b w:val="0"/>
          <w:bCs/>
          <w:snapToGrid w:val="0"/>
          <w:color w:val="auto"/>
          <w:sz w:val="28"/>
          <w:szCs w:val="28"/>
        </w:rPr>
        <w:t>元</w:t>
      </w:r>
      <w:r>
        <w:rPr>
          <w:rFonts w:asciiTheme="minorEastAsia" w:eastAsiaTheme="minorEastAsia" w:hAnsiTheme="minorEastAsia" w:hint="eastAsia"/>
          <w:b w:val="0"/>
          <w:bCs/>
          <w:snapToGrid w:val="0"/>
          <w:color w:val="auto"/>
          <w:sz w:val="28"/>
          <w:szCs w:val="28"/>
        </w:rPr>
        <w:t>/</w:t>
      </w:r>
      <w:r>
        <w:rPr>
          <w:rFonts w:asciiTheme="minorEastAsia" w:eastAsiaTheme="minorEastAsia" w:hAnsiTheme="minorEastAsia" w:hint="eastAsia"/>
          <w:b w:val="0"/>
          <w:bCs/>
          <w:snapToGrid w:val="0"/>
          <w:color w:val="auto"/>
          <w:sz w:val="28"/>
          <w:szCs w:val="28"/>
        </w:rPr>
        <w:t>天，并顺延木材生产、销售期限。</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bCs/>
          <w:snapToGrid w:val="0"/>
          <w:color w:val="auto"/>
          <w:sz w:val="28"/>
          <w:szCs w:val="28"/>
        </w:rPr>
      </w:pPr>
      <w:r>
        <w:rPr>
          <w:rFonts w:asciiTheme="minorEastAsia" w:eastAsiaTheme="minorEastAsia" w:hAnsiTheme="minorEastAsia" w:hint="eastAsia"/>
          <w:bCs/>
          <w:snapToGrid w:val="0"/>
          <w:color w:val="auto"/>
          <w:sz w:val="28"/>
          <w:szCs w:val="28"/>
        </w:rPr>
        <w:t>（二）</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未按招标文件规定的期限全额缴交成交价款，则视为</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根本性违约且自动放弃受让资格，转让方有权取消其成交资格，并没收其交易保证金，不将交易的活立木及《林木采伐许可证》移交给</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，终止本次交易，转让方有权另行处置该项目。</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bCs/>
          <w:snapToGrid w:val="0"/>
          <w:color w:val="auto"/>
          <w:sz w:val="28"/>
          <w:szCs w:val="28"/>
        </w:rPr>
      </w:pPr>
      <w:r>
        <w:rPr>
          <w:rFonts w:asciiTheme="minorEastAsia" w:eastAsiaTheme="minorEastAsia" w:hAnsiTheme="minorEastAsia" w:hint="eastAsia"/>
          <w:bCs/>
          <w:snapToGrid w:val="0"/>
          <w:color w:val="auto"/>
          <w:sz w:val="28"/>
          <w:szCs w:val="28"/>
        </w:rPr>
        <w:t>（三）</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未在约定期限内完成伐区约定活立木采伐、伐区清理等，则视为</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放弃伐区内林木所有权益，遗留的活立木及伐倒木全部归转让方所有，转让方有权自行处置上述林木。</w:t>
      </w:r>
    </w:p>
    <w:p w:rsidR="00407FD3" w:rsidRDefault="00D17193">
      <w:pPr>
        <w:adjustRightInd w:val="0"/>
        <w:snapToGrid w:val="0"/>
        <w:spacing w:line="440" w:lineRule="exact"/>
        <w:ind w:firstLineChars="200" w:firstLine="562"/>
        <w:contextualSpacing/>
        <w:rPr>
          <w:rFonts w:asciiTheme="minorEastAsia" w:eastAsiaTheme="minorEastAsia" w:hAnsiTheme="minorEastAsia" w:cs="宋体"/>
          <w:b w:val="0"/>
          <w:bCs/>
          <w:snapToGrid w:val="0"/>
          <w:color w:val="auto"/>
          <w:sz w:val="28"/>
          <w:szCs w:val="28"/>
        </w:rPr>
      </w:pPr>
      <w:r>
        <w:rPr>
          <w:rFonts w:asciiTheme="minorEastAsia" w:eastAsiaTheme="minorEastAsia" w:hAnsiTheme="minorEastAsia" w:hint="eastAsia"/>
          <w:snapToGrid w:val="0"/>
          <w:color w:val="auto"/>
          <w:sz w:val="28"/>
          <w:szCs w:val="28"/>
        </w:rPr>
        <w:t>（四）</w:t>
      </w:r>
      <w:r>
        <w:rPr>
          <w:rFonts w:asciiTheme="minorEastAsia" w:eastAsiaTheme="minorEastAsia" w:hAnsiTheme="minorEastAsia" w:hint="eastAsia"/>
          <w:b w:val="0"/>
          <w:snapToGrid w:val="0"/>
          <w:color w:val="auto"/>
          <w:sz w:val="28"/>
          <w:szCs w:val="28"/>
        </w:rPr>
        <w:t>买受人超界采伐，属转让方辖区内的，买受人应向转让方按标的成交平均单价</w:t>
      </w:r>
      <w:r>
        <w:rPr>
          <w:rFonts w:asciiTheme="minorEastAsia" w:eastAsiaTheme="minorEastAsia" w:hAnsiTheme="minorEastAsia" w:hint="eastAsia"/>
          <w:b w:val="0"/>
          <w:bCs/>
          <w:snapToGrid w:val="0"/>
          <w:color w:val="auto"/>
          <w:sz w:val="28"/>
          <w:szCs w:val="28"/>
        </w:rPr>
        <w:t>（不分树种、材种）</w:t>
      </w:r>
      <w:r>
        <w:rPr>
          <w:rFonts w:asciiTheme="minorEastAsia" w:eastAsiaTheme="minorEastAsia" w:hAnsiTheme="minorEastAsia" w:hint="eastAsia"/>
          <w:b w:val="0"/>
          <w:snapToGrid w:val="0"/>
          <w:color w:val="auto"/>
          <w:sz w:val="28"/>
          <w:szCs w:val="28"/>
        </w:rPr>
        <w:t>赔偿实际损失并承担相应法律责任</w:t>
      </w:r>
      <w:r>
        <w:rPr>
          <w:rFonts w:asciiTheme="minorEastAsia" w:eastAsiaTheme="minorEastAsia" w:hAnsiTheme="minorEastAsia" w:hint="eastAsia"/>
          <w:b w:val="0"/>
          <w:bCs/>
          <w:snapToGrid w:val="0"/>
          <w:color w:val="auto"/>
          <w:sz w:val="28"/>
          <w:szCs w:val="28"/>
        </w:rPr>
        <w:t>，转让方有权直接在</w:t>
      </w:r>
      <w:r>
        <w:rPr>
          <w:rFonts w:asciiTheme="minorEastAsia" w:eastAsiaTheme="minorEastAsia" w:hAnsiTheme="minorEastAsia" w:hint="eastAsia"/>
          <w:b w:val="0"/>
          <w:snapToGrid w:val="0"/>
          <w:color w:val="auto"/>
          <w:sz w:val="28"/>
          <w:szCs w:val="28"/>
        </w:rPr>
        <w:t>活立木转让履约保证金</w:t>
      </w:r>
      <w:r>
        <w:rPr>
          <w:rFonts w:asciiTheme="minorEastAsia" w:eastAsiaTheme="minorEastAsia" w:hAnsiTheme="minorEastAsia" w:hint="eastAsia"/>
          <w:b w:val="0"/>
          <w:bCs/>
          <w:snapToGrid w:val="0"/>
          <w:color w:val="auto"/>
          <w:sz w:val="28"/>
          <w:szCs w:val="28"/>
        </w:rPr>
        <w:t>中扣除（保证金不足</w:t>
      </w:r>
      <w:r>
        <w:rPr>
          <w:rFonts w:asciiTheme="minorEastAsia" w:eastAsiaTheme="minorEastAsia" w:hAnsiTheme="minorEastAsia" w:hint="eastAsia"/>
          <w:b w:val="0"/>
          <w:bCs/>
          <w:snapToGrid w:val="0"/>
          <w:color w:val="auto"/>
          <w:sz w:val="28"/>
          <w:szCs w:val="28"/>
        </w:rPr>
        <w:t>抵扣的，转让方有权向</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追偿）；</w:t>
      </w:r>
      <w:r>
        <w:rPr>
          <w:rFonts w:asciiTheme="minorEastAsia" w:eastAsiaTheme="minorEastAsia" w:hAnsiTheme="minorEastAsia" w:hint="eastAsia"/>
          <w:b w:val="0"/>
          <w:snapToGrid w:val="0"/>
          <w:color w:val="auto"/>
          <w:sz w:val="28"/>
          <w:szCs w:val="28"/>
        </w:rPr>
        <w:t>属转让方辖区外的，相关赔偿和法律责任由买受人自行承担。</w:t>
      </w:r>
      <w:r>
        <w:rPr>
          <w:rFonts w:asciiTheme="minorEastAsia" w:eastAsiaTheme="minorEastAsia" w:hAnsiTheme="minorEastAsia" w:cs="宋体" w:hint="eastAsia"/>
          <w:b w:val="0"/>
          <w:bCs/>
          <w:snapToGrid w:val="0"/>
          <w:color w:val="auto"/>
          <w:sz w:val="28"/>
          <w:szCs w:val="28"/>
        </w:rPr>
        <w:t>木荷防火林带不得采伐，因生产造成防火林带或伐区外林木损害的，</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cs="宋体" w:hint="eastAsia"/>
          <w:b w:val="0"/>
          <w:bCs/>
          <w:snapToGrid w:val="0"/>
          <w:color w:val="auto"/>
          <w:sz w:val="28"/>
          <w:szCs w:val="28"/>
        </w:rPr>
        <w:t>应根据损害程度</w:t>
      </w:r>
      <w:r>
        <w:rPr>
          <w:rFonts w:asciiTheme="minorEastAsia" w:eastAsiaTheme="minorEastAsia" w:hAnsiTheme="minorEastAsia" w:hint="eastAsia"/>
          <w:b w:val="0"/>
          <w:snapToGrid w:val="0"/>
          <w:color w:val="auto"/>
          <w:sz w:val="28"/>
          <w:szCs w:val="28"/>
        </w:rPr>
        <w:t>按标的成交平均单价（不分树种、材种）</w:t>
      </w:r>
      <w:r>
        <w:rPr>
          <w:rFonts w:asciiTheme="minorEastAsia" w:eastAsiaTheme="minorEastAsia" w:hAnsiTheme="minorEastAsia" w:cs="宋体" w:hint="eastAsia"/>
          <w:b w:val="0"/>
          <w:bCs/>
          <w:snapToGrid w:val="0"/>
          <w:color w:val="auto"/>
          <w:sz w:val="28"/>
          <w:szCs w:val="28"/>
        </w:rPr>
        <w:t>赔偿损失。</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bCs/>
          <w:snapToGrid w:val="0"/>
          <w:color w:val="auto"/>
          <w:sz w:val="28"/>
          <w:szCs w:val="28"/>
        </w:rPr>
      </w:pPr>
      <w:r>
        <w:rPr>
          <w:rFonts w:asciiTheme="minorEastAsia" w:eastAsiaTheme="minorEastAsia" w:hAnsiTheme="minorEastAsia" w:hint="eastAsia"/>
          <w:snapToGrid w:val="0"/>
          <w:color w:val="auto"/>
          <w:sz w:val="28"/>
          <w:szCs w:val="28"/>
        </w:rPr>
        <w:t>（五）</w:t>
      </w:r>
      <w:r>
        <w:rPr>
          <w:rFonts w:asciiTheme="minorEastAsia" w:eastAsiaTheme="minorEastAsia" w:hAnsiTheme="minorEastAsia" w:hint="eastAsia"/>
          <w:b w:val="0"/>
          <w:snapToGrid w:val="0"/>
          <w:color w:val="auto"/>
          <w:sz w:val="28"/>
          <w:szCs w:val="28"/>
        </w:rPr>
        <w:t>采伐迹地验收不合格，转让方有权要求买受人在</w:t>
      </w:r>
      <w:r>
        <w:rPr>
          <w:rFonts w:asciiTheme="minorEastAsia" w:eastAsiaTheme="minorEastAsia" w:hAnsiTheme="minorEastAsia" w:hint="eastAsia"/>
          <w:b w:val="0"/>
          <w:snapToGrid w:val="0"/>
          <w:color w:val="auto"/>
          <w:sz w:val="28"/>
          <w:szCs w:val="28"/>
        </w:rPr>
        <w:t>1</w:t>
      </w:r>
      <w:r>
        <w:rPr>
          <w:rFonts w:asciiTheme="minorEastAsia" w:eastAsiaTheme="minorEastAsia" w:hAnsiTheme="minorEastAsia"/>
          <w:b w:val="0"/>
          <w:snapToGrid w:val="0"/>
          <w:color w:val="auto"/>
          <w:sz w:val="28"/>
          <w:szCs w:val="28"/>
        </w:rPr>
        <w:t>5</w:t>
      </w:r>
      <w:r>
        <w:rPr>
          <w:rFonts w:asciiTheme="minorEastAsia" w:eastAsiaTheme="minorEastAsia" w:hAnsiTheme="minorEastAsia" w:hint="eastAsia"/>
          <w:b w:val="0"/>
          <w:snapToGrid w:val="0"/>
          <w:color w:val="auto"/>
          <w:sz w:val="28"/>
          <w:szCs w:val="28"/>
        </w:rPr>
        <w:t>日内返工，如返工仍不合格或未予返工的，转让方有权没收活立木转让履约保证金。</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snapToGrid w:val="0"/>
          <w:color w:val="auto"/>
          <w:sz w:val="28"/>
          <w:szCs w:val="28"/>
        </w:rPr>
        <w:t>（六）</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b w:val="0"/>
          <w:snapToGrid w:val="0"/>
          <w:color w:val="auto"/>
          <w:sz w:val="28"/>
          <w:szCs w:val="28"/>
        </w:rPr>
        <w:t>违反林业法律法规销售木材</w:t>
      </w:r>
      <w:r>
        <w:rPr>
          <w:rFonts w:asciiTheme="minorEastAsia" w:eastAsiaTheme="minorEastAsia" w:hAnsiTheme="minorEastAsia" w:hint="eastAsia"/>
          <w:b w:val="0"/>
          <w:snapToGrid w:val="0"/>
          <w:color w:val="auto"/>
          <w:sz w:val="28"/>
          <w:szCs w:val="28"/>
        </w:rPr>
        <w:t>，</w:t>
      </w:r>
      <w:r>
        <w:rPr>
          <w:rFonts w:asciiTheme="minorEastAsia" w:eastAsiaTheme="minorEastAsia" w:hAnsiTheme="minorEastAsia"/>
          <w:b w:val="0"/>
          <w:snapToGrid w:val="0"/>
          <w:color w:val="auto"/>
          <w:sz w:val="28"/>
          <w:szCs w:val="28"/>
        </w:rPr>
        <w:t>转让方有权</w:t>
      </w:r>
      <w:r>
        <w:rPr>
          <w:rFonts w:asciiTheme="minorEastAsia" w:eastAsiaTheme="minorEastAsia" w:hAnsiTheme="minorEastAsia" w:hint="eastAsia"/>
          <w:b w:val="0"/>
          <w:snapToGrid w:val="0"/>
          <w:color w:val="auto"/>
          <w:sz w:val="28"/>
          <w:szCs w:val="28"/>
        </w:rPr>
        <w:t>没收活立木转让履约保证金、</w:t>
      </w:r>
      <w:r>
        <w:rPr>
          <w:rFonts w:asciiTheme="minorEastAsia" w:eastAsiaTheme="minorEastAsia" w:hAnsiTheme="minorEastAsia"/>
          <w:b w:val="0"/>
          <w:snapToGrid w:val="0"/>
          <w:color w:val="auto"/>
          <w:sz w:val="28"/>
          <w:szCs w:val="28"/>
        </w:rPr>
        <w:t>单方解除</w:t>
      </w:r>
      <w:r>
        <w:rPr>
          <w:rFonts w:asciiTheme="minorEastAsia" w:eastAsiaTheme="minorEastAsia" w:hAnsiTheme="minorEastAsia" w:hint="eastAsia"/>
          <w:b w:val="0"/>
          <w:snapToGrid w:val="0"/>
          <w:color w:val="auto"/>
          <w:sz w:val="28"/>
          <w:szCs w:val="28"/>
        </w:rPr>
        <w:t>合同，</w:t>
      </w:r>
      <w:r>
        <w:rPr>
          <w:rFonts w:asciiTheme="minorEastAsia" w:eastAsiaTheme="minorEastAsia" w:hAnsiTheme="minorEastAsia"/>
          <w:b w:val="0"/>
          <w:snapToGrid w:val="0"/>
          <w:color w:val="auto"/>
          <w:sz w:val="28"/>
          <w:szCs w:val="28"/>
        </w:rPr>
        <w:t>并</w:t>
      </w:r>
      <w:r>
        <w:rPr>
          <w:rFonts w:asciiTheme="minorEastAsia" w:eastAsiaTheme="minorEastAsia" w:hAnsiTheme="minorEastAsia" w:hint="eastAsia"/>
          <w:b w:val="0"/>
          <w:snapToGrid w:val="0"/>
          <w:color w:val="auto"/>
          <w:sz w:val="28"/>
          <w:szCs w:val="28"/>
        </w:rPr>
        <w:t>交由有关部门处理。</w:t>
      </w:r>
    </w:p>
    <w:p w:rsidR="00407FD3" w:rsidRDefault="00D17193">
      <w:pPr>
        <w:adjustRightInd w:val="0"/>
        <w:snapToGrid w:val="0"/>
        <w:spacing w:line="440" w:lineRule="exact"/>
        <w:ind w:firstLineChars="200" w:firstLine="562"/>
        <w:contextualSpacing/>
        <w:rPr>
          <w:rFonts w:asciiTheme="minorEastAsia" w:eastAsiaTheme="minorEastAsia" w:hAnsiTheme="minorEastAsia"/>
          <w:snapToGrid w:val="0"/>
          <w:color w:val="auto"/>
          <w:sz w:val="28"/>
          <w:szCs w:val="28"/>
        </w:rPr>
      </w:pPr>
      <w:r>
        <w:rPr>
          <w:rFonts w:asciiTheme="minorEastAsia" w:eastAsiaTheme="minorEastAsia" w:hAnsiTheme="minorEastAsia" w:hint="eastAsia"/>
          <w:snapToGrid w:val="0"/>
          <w:color w:val="auto"/>
          <w:sz w:val="28"/>
          <w:szCs w:val="28"/>
        </w:rPr>
        <w:t>十、风险告知</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snapToGrid w:val="0"/>
          <w:color w:val="auto"/>
          <w:spacing w:val="-4"/>
          <w:sz w:val="28"/>
          <w:szCs w:val="28"/>
        </w:rPr>
      </w:pPr>
      <w:r>
        <w:rPr>
          <w:rFonts w:asciiTheme="minorEastAsia" w:eastAsiaTheme="minorEastAsia" w:hAnsiTheme="minorEastAsia" w:hint="eastAsia"/>
          <w:snapToGrid w:val="0"/>
          <w:color w:val="auto"/>
          <w:sz w:val="28"/>
          <w:szCs w:val="28"/>
        </w:rPr>
        <w:t>（一）</w:t>
      </w:r>
      <w:r>
        <w:rPr>
          <w:rFonts w:asciiTheme="minorEastAsia" w:eastAsiaTheme="minorEastAsia" w:hAnsiTheme="minorEastAsia" w:hint="eastAsia"/>
          <w:b w:val="0"/>
          <w:snapToGrid w:val="0"/>
          <w:color w:val="auto"/>
          <w:spacing w:val="-4"/>
          <w:sz w:val="28"/>
          <w:szCs w:val="28"/>
        </w:rPr>
        <w:t>本竞买项目为活立木销售模式，转让方将标的约定的活立木在约定的期限内整体打包销售给</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snapToGrid w:val="0"/>
          <w:color w:val="auto"/>
          <w:spacing w:val="-4"/>
          <w:sz w:val="28"/>
          <w:szCs w:val="28"/>
        </w:rPr>
        <w:t>，该竞买项目具有市场风险投资性质。</w:t>
      </w:r>
    </w:p>
    <w:p w:rsidR="00407FD3" w:rsidRDefault="00D17193">
      <w:pPr>
        <w:adjustRightInd w:val="0"/>
        <w:snapToGrid w:val="0"/>
        <w:spacing w:line="440" w:lineRule="exact"/>
        <w:ind w:firstLineChars="200" w:firstLine="562"/>
        <w:contextualSpacing/>
        <w:rPr>
          <w:rFonts w:asciiTheme="minorEastAsia" w:eastAsiaTheme="minorEastAsia" w:hAnsiTheme="minorEastAsia"/>
          <w:snapToGrid w:val="0"/>
          <w:color w:val="auto"/>
          <w:spacing w:val="-4"/>
          <w:sz w:val="28"/>
          <w:szCs w:val="28"/>
        </w:rPr>
      </w:pPr>
      <w:r>
        <w:rPr>
          <w:rFonts w:asciiTheme="minorEastAsia" w:eastAsiaTheme="minorEastAsia" w:hAnsiTheme="minorEastAsia" w:cs="仿宋_GB2312" w:hint="eastAsia"/>
          <w:snapToGrid w:val="0"/>
          <w:color w:val="auto"/>
          <w:sz w:val="28"/>
          <w:szCs w:val="28"/>
        </w:rPr>
        <w:t>（二）</w:t>
      </w:r>
      <w:r>
        <w:rPr>
          <w:rFonts w:asciiTheme="minorEastAsia" w:eastAsiaTheme="minorEastAsia" w:hAnsiTheme="minorEastAsia" w:hint="eastAsia"/>
          <w:snapToGrid w:val="0"/>
          <w:color w:val="auto"/>
          <w:spacing w:val="-4"/>
          <w:sz w:val="28"/>
          <w:szCs w:val="28"/>
        </w:rPr>
        <w:t>标的小班正在办理林木采伐许可证，若因政策等原因部分小班确实无法办理相关采伐手续则按标的成交平均单价核减相应成交价款（不分树种、材种）。</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cs="仿宋_GB2312" w:hint="eastAsia"/>
          <w:snapToGrid w:val="0"/>
          <w:color w:val="auto"/>
          <w:sz w:val="28"/>
          <w:szCs w:val="28"/>
        </w:rPr>
        <w:lastRenderedPageBreak/>
        <w:t>（三）</w:t>
      </w:r>
      <w:r>
        <w:rPr>
          <w:rFonts w:asciiTheme="minorEastAsia" w:eastAsiaTheme="minorEastAsia" w:hAnsiTheme="minorEastAsia" w:cs="仿宋_GB2312" w:hint="eastAsia"/>
          <w:b w:val="0"/>
          <w:snapToGrid w:val="0"/>
          <w:color w:val="auto"/>
          <w:sz w:val="28"/>
          <w:szCs w:val="28"/>
        </w:rPr>
        <w:t>竞买人参与竞价前应自行核查标的权属情况，或者到标的所在地林业主管部门及标的所在地核实相关权属问题，充分了解标的现状及</w:t>
      </w:r>
      <w:r>
        <w:rPr>
          <w:rFonts w:asciiTheme="minorEastAsia" w:eastAsiaTheme="minorEastAsia" w:hAnsiTheme="minorEastAsia" w:cs="仿宋_GB2312"/>
          <w:b w:val="0"/>
          <w:snapToGrid w:val="0"/>
          <w:color w:val="auto"/>
          <w:sz w:val="28"/>
          <w:szCs w:val="28"/>
        </w:rPr>
        <w:t>瑕疵</w:t>
      </w:r>
      <w:r>
        <w:rPr>
          <w:rFonts w:asciiTheme="minorEastAsia" w:eastAsiaTheme="minorEastAsia" w:hAnsiTheme="minorEastAsia" w:cs="仿宋_GB2312" w:hint="eastAsia"/>
          <w:b w:val="0"/>
          <w:snapToGrid w:val="0"/>
          <w:color w:val="auto"/>
          <w:sz w:val="28"/>
          <w:szCs w:val="28"/>
        </w:rPr>
        <w:t>，一旦参与竞买，须自行承担交易风险。</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cs="仿宋_GB2312" w:hint="eastAsia"/>
          <w:snapToGrid w:val="0"/>
          <w:color w:val="auto"/>
          <w:sz w:val="28"/>
          <w:szCs w:val="28"/>
        </w:rPr>
        <w:t>（四）</w:t>
      </w:r>
      <w:r>
        <w:rPr>
          <w:rFonts w:asciiTheme="minorEastAsia" w:eastAsiaTheme="minorEastAsia" w:hAnsiTheme="minorEastAsia" w:cs="仿宋_GB2312" w:hint="eastAsia"/>
          <w:b w:val="0"/>
          <w:snapToGrid w:val="0"/>
          <w:color w:val="auto"/>
          <w:sz w:val="28"/>
          <w:szCs w:val="28"/>
        </w:rPr>
        <w:t>本项目标的面积、树种、蓄积量、出材量、土壤、交通现状等情况介绍均由转让方提供，仅供竞买人参考。参与竞价前，请各竞买人务必详细阅读公告及附件的所有内容，充分了解各项要求及存在的风险因素；到现场踏看标的，对标的范围内的林地及周边情况有充分了解和风险预估。一旦参与交易表明竞买人已认可并接受该风险，由该风险产生的一切后果和费用由竞买人承担。</w:t>
      </w:r>
    </w:p>
    <w:p w:rsidR="00407FD3" w:rsidRDefault="00D17193">
      <w:pPr>
        <w:adjustRightInd w:val="0"/>
        <w:snapToGrid w:val="0"/>
        <w:spacing w:line="440" w:lineRule="exact"/>
        <w:ind w:firstLineChars="200" w:firstLine="562"/>
        <w:contextualSpacing/>
        <w:rPr>
          <w:rFonts w:asciiTheme="minorEastAsia" w:eastAsiaTheme="minorEastAsia" w:hAnsiTheme="minorEastAsia" w:cs="仿宋_GB2312"/>
          <w:b w:val="0"/>
          <w:bCs/>
          <w:snapToGrid w:val="0"/>
          <w:color w:val="auto"/>
          <w:sz w:val="28"/>
          <w:szCs w:val="28"/>
        </w:rPr>
      </w:pPr>
      <w:r>
        <w:rPr>
          <w:rFonts w:asciiTheme="minorEastAsia" w:eastAsiaTheme="minorEastAsia" w:hAnsiTheme="minorEastAsia" w:cs="仿宋_GB2312" w:hint="eastAsia"/>
          <w:snapToGrid w:val="0"/>
          <w:color w:val="auto"/>
          <w:sz w:val="28"/>
          <w:szCs w:val="28"/>
        </w:rPr>
        <w:t>（五）</w:t>
      </w:r>
      <w:r>
        <w:rPr>
          <w:rFonts w:asciiTheme="minorEastAsia" w:eastAsiaTheme="minorEastAsia" w:hAnsiTheme="minorEastAsia" w:cs="仿宋_GB2312" w:hint="eastAsia"/>
          <w:b w:val="0"/>
          <w:snapToGrid w:val="0"/>
          <w:color w:val="auto"/>
          <w:sz w:val="28"/>
          <w:szCs w:val="28"/>
        </w:rPr>
        <w:t>本次交易标的具有市场风险投资性质，可能发生的风险包括（但不限于）林地存在的产品（权利）瑕疵、村民以各种理由（如农村道路、荒田荒地、毛竹林地、果山、油茶山、自留山、水利设施</w:t>
      </w:r>
      <w:r>
        <w:rPr>
          <w:rFonts w:asciiTheme="minorEastAsia" w:eastAsiaTheme="minorEastAsia" w:hAnsiTheme="minorEastAsia" w:cs="仿宋_GB2312" w:hint="eastAsia"/>
          <w:b w:val="0"/>
          <w:snapToGrid w:val="0"/>
          <w:color w:val="auto"/>
          <w:sz w:val="28"/>
          <w:szCs w:val="28"/>
        </w:rPr>
        <w:t>、农田禽地、农作物赔偿赞</w:t>
      </w:r>
      <w:r>
        <w:rPr>
          <w:rFonts w:asciiTheme="minorEastAsia" w:eastAsiaTheme="minorEastAsia" w:hAnsiTheme="minorEastAsia" w:cs="仿宋_GB2312" w:hint="eastAsia"/>
          <w:b w:val="0"/>
          <w:bCs/>
          <w:snapToGrid w:val="0"/>
          <w:color w:val="auto"/>
          <w:sz w:val="28"/>
          <w:szCs w:val="28"/>
        </w:rPr>
        <w:t>助、不领取地租、林地权属、墓树等）索要赔偿（补偿）、阻挠林木采伐运输、林木实际采伐（或运输）数量与预计出材量不符、林地实际采伐面积与设计面积不一定相符、市场价格变动、林木长势不齐等，竞买人应对标的范围内的林地情况有充分了解和风险预估，竞买人一旦参与竞价，表明已认可并接受前述风险。</w:t>
      </w:r>
    </w:p>
    <w:p w:rsidR="00407FD3" w:rsidRDefault="00D17193">
      <w:pPr>
        <w:adjustRightInd w:val="0"/>
        <w:snapToGrid w:val="0"/>
        <w:spacing w:line="440" w:lineRule="exact"/>
        <w:ind w:firstLineChars="200" w:firstLine="562"/>
        <w:contextualSpacing/>
        <w:rPr>
          <w:rFonts w:asciiTheme="minorEastAsia" w:eastAsiaTheme="minorEastAsia" w:hAnsiTheme="minorEastAsia" w:cs="仿宋_GB2312"/>
          <w:bCs/>
          <w:snapToGrid w:val="0"/>
          <w:color w:val="auto"/>
          <w:sz w:val="28"/>
          <w:szCs w:val="28"/>
        </w:rPr>
      </w:pPr>
      <w:r>
        <w:rPr>
          <w:rFonts w:asciiTheme="minorEastAsia" w:eastAsiaTheme="minorEastAsia" w:hAnsiTheme="minorEastAsia" w:cs="仿宋_GB2312" w:hint="eastAsia"/>
          <w:bCs/>
          <w:snapToGrid w:val="0"/>
          <w:color w:val="auto"/>
          <w:sz w:val="28"/>
          <w:szCs w:val="28"/>
        </w:rPr>
        <w:t>十一、其他约定</w:t>
      </w:r>
    </w:p>
    <w:p w:rsidR="00407FD3" w:rsidRDefault="00D17193">
      <w:pPr>
        <w:adjustRightInd w:val="0"/>
        <w:snapToGrid w:val="0"/>
        <w:spacing w:line="440" w:lineRule="exact"/>
        <w:ind w:firstLineChars="200" w:firstLine="562"/>
        <w:contextualSpacing/>
        <w:rPr>
          <w:rFonts w:asciiTheme="minorEastAsia" w:eastAsiaTheme="minorEastAsia" w:hAnsiTheme="minorEastAsia" w:cs="仿宋_GB2312"/>
          <w:b w:val="0"/>
          <w:bCs/>
          <w:snapToGrid w:val="0"/>
          <w:color w:val="auto"/>
          <w:sz w:val="28"/>
          <w:szCs w:val="28"/>
        </w:rPr>
      </w:pPr>
      <w:r>
        <w:rPr>
          <w:rFonts w:asciiTheme="minorEastAsia" w:eastAsiaTheme="minorEastAsia" w:hAnsiTheme="minorEastAsia" w:cs="仿宋_GB2312" w:hint="eastAsia"/>
          <w:bCs/>
          <w:snapToGrid w:val="0"/>
          <w:color w:val="auto"/>
          <w:sz w:val="28"/>
          <w:szCs w:val="28"/>
        </w:rPr>
        <w:t>（一）</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cs="仿宋_GB2312" w:hint="eastAsia"/>
          <w:b w:val="0"/>
          <w:bCs/>
          <w:snapToGrid w:val="0"/>
          <w:color w:val="auto"/>
          <w:sz w:val="28"/>
          <w:szCs w:val="28"/>
        </w:rPr>
        <w:t>自行组织标的伐区活立木的生产、销售，所发生的一切费用由</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cs="仿宋_GB2312" w:hint="eastAsia"/>
          <w:b w:val="0"/>
          <w:bCs/>
          <w:snapToGrid w:val="0"/>
          <w:color w:val="auto"/>
          <w:sz w:val="28"/>
          <w:szCs w:val="28"/>
        </w:rPr>
        <w:t>承担。</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snapToGrid w:val="0"/>
          <w:color w:val="auto"/>
          <w:sz w:val="28"/>
          <w:szCs w:val="28"/>
        </w:rPr>
        <w:t>（二）</w:t>
      </w:r>
      <w:r>
        <w:rPr>
          <w:rFonts w:asciiTheme="minorEastAsia" w:eastAsiaTheme="minorEastAsia" w:hAnsiTheme="minorEastAsia" w:hint="eastAsia"/>
          <w:b w:val="0"/>
          <w:snapToGrid w:val="0"/>
          <w:color w:val="auto"/>
          <w:sz w:val="28"/>
          <w:szCs w:val="28"/>
        </w:rPr>
        <w:t>买受人应遵守有关法律法规及地方有关部门规定，做到依法依规组织木材生产销售。</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snapToGrid w:val="0"/>
          <w:color w:val="auto"/>
          <w:sz w:val="28"/>
          <w:szCs w:val="28"/>
        </w:rPr>
        <w:t>（三）</w:t>
      </w:r>
      <w:r>
        <w:rPr>
          <w:rFonts w:asciiTheme="minorEastAsia" w:eastAsiaTheme="minorEastAsia" w:hAnsiTheme="minorEastAsia" w:hint="eastAsia"/>
          <w:b w:val="0"/>
          <w:snapToGrid w:val="0"/>
          <w:color w:val="auto"/>
          <w:sz w:val="28"/>
          <w:szCs w:val="28"/>
        </w:rPr>
        <w:t>伐区木材生产、销售数量实行上封顶下不保底，即：</w:t>
      </w:r>
      <w:r>
        <w:rPr>
          <w:rFonts w:asciiTheme="minorEastAsia" w:eastAsiaTheme="minorEastAsia" w:hAnsiTheme="minorEastAsia"/>
          <w:b w:val="0"/>
          <w:snapToGrid w:val="0"/>
          <w:color w:val="auto"/>
          <w:sz w:val="28"/>
          <w:szCs w:val="28"/>
        </w:rPr>
        <w:t>“</w:t>
      </w:r>
      <w:r>
        <w:rPr>
          <w:rFonts w:asciiTheme="minorEastAsia" w:eastAsiaTheme="minorEastAsia" w:hAnsiTheme="minorEastAsia" w:hint="eastAsia"/>
          <w:b w:val="0"/>
          <w:snapToGrid w:val="0"/>
          <w:color w:val="auto"/>
          <w:sz w:val="28"/>
          <w:szCs w:val="28"/>
        </w:rPr>
        <w:t>上封顶</w:t>
      </w:r>
      <w:r>
        <w:rPr>
          <w:rFonts w:asciiTheme="minorEastAsia" w:eastAsiaTheme="minorEastAsia" w:hAnsiTheme="minorEastAsia"/>
          <w:b w:val="0"/>
          <w:snapToGrid w:val="0"/>
          <w:color w:val="auto"/>
          <w:sz w:val="28"/>
          <w:szCs w:val="28"/>
        </w:rPr>
        <w:t>”</w:t>
      </w:r>
      <w:r>
        <w:rPr>
          <w:rFonts w:asciiTheme="minorEastAsia" w:eastAsiaTheme="minorEastAsia" w:hAnsiTheme="minorEastAsia" w:hint="eastAsia"/>
          <w:b w:val="0"/>
          <w:snapToGrid w:val="0"/>
          <w:color w:val="auto"/>
          <w:sz w:val="28"/>
          <w:szCs w:val="28"/>
        </w:rPr>
        <w:t>为每个小班实际出材量不得超过采伐证审批数量，若确实有超出采伐证审批数量的，买受人应立即停止采伐，并及时向转让方书面报告，待转让方按有关规定组织调查设计、补办采伐审批手续后方可继续采伐，且买受人应向转让方按标的成交平均单价缴纳相应超量部分活立木价款（不分树种、材种）；</w:t>
      </w:r>
      <w:r>
        <w:rPr>
          <w:rFonts w:asciiTheme="minorEastAsia" w:eastAsiaTheme="minorEastAsia" w:hAnsiTheme="minorEastAsia"/>
          <w:b w:val="0"/>
          <w:snapToGrid w:val="0"/>
          <w:color w:val="auto"/>
          <w:sz w:val="28"/>
          <w:szCs w:val="28"/>
        </w:rPr>
        <w:t>“</w:t>
      </w:r>
      <w:r>
        <w:rPr>
          <w:rFonts w:asciiTheme="minorEastAsia" w:eastAsiaTheme="minorEastAsia" w:hAnsiTheme="minorEastAsia" w:hint="eastAsia"/>
          <w:b w:val="0"/>
          <w:snapToGrid w:val="0"/>
          <w:color w:val="auto"/>
          <w:sz w:val="28"/>
          <w:szCs w:val="28"/>
        </w:rPr>
        <w:t>下不保底</w:t>
      </w:r>
      <w:r>
        <w:rPr>
          <w:rFonts w:asciiTheme="minorEastAsia" w:eastAsiaTheme="minorEastAsia" w:hAnsiTheme="minorEastAsia"/>
          <w:b w:val="0"/>
          <w:snapToGrid w:val="0"/>
          <w:color w:val="auto"/>
          <w:sz w:val="28"/>
          <w:szCs w:val="28"/>
        </w:rPr>
        <w:t>”</w:t>
      </w:r>
      <w:r>
        <w:rPr>
          <w:rFonts w:asciiTheme="minorEastAsia" w:eastAsiaTheme="minorEastAsia" w:hAnsiTheme="minorEastAsia" w:hint="eastAsia"/>
          <w:b w:val="0"/>
          <w:snapToGrid w:val="0"/>
          <w:color w:val="auto"/>
          <w:sz w:val="28"/>
          <w:szCs w:val="28"/>
        </w:rPr>
        <w:t>为每个小班实际出材量少于采伐证审批数量的，成交活立木价款不得减少，买受人自行承担风险。</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color w:val="auto"/>
          <w:sz w:val="28"/>
          <w:szCs w:val="28"/>
        </w:rPr>
      </w:pPr>
      <w:r>
        <w:rPr>
          <w:rFonts w:asciiTheme="minorEastAsia" w:eastAsiaTheme="minorEastAsia" w:hAnsiTheme="minorEastAsia" w:hint="eastAsia"/>
          <w:snapToGrid w:val="0"/>
          <w:color w:val="auto"/>
          <w:sz w:val="28"/>
          <w:szCs w:val="28"/>
        </w:rPr>
        <w:t>（四）</w:t>
      </w:r>
      <w:r>
        <w:rPr>
          <w:rFonts w:asciiTheme="minorEastAsia" w:eastAsiaTheme="minorEastAsia" w:hAnsiTheme="minorEastAsia" w:hint="eastAsia"/>
          <w:b w:val="0"/>
          <w:snapToGrid w:val="0"/>
          <w:color w:val="auto"/>
          <w:sz w:val="28"/>
          <w:szCs w:val="28"/>
        </w:rPr>
        <w:t>本次活立木交易所有伐区均为松材线虫病除治性或预防性</w:t>
      </w:r>
      <w:r>
        <w:rPr>
          <w:rFonts w:asciiTheme="minorEastAsia" w:eastAsiaTheme="minorEastAsia" w:hAnsiTheme="minorEastAsia" w:hint="eastAsia"/>
          <w:b w:val="0"/>
          <w:snapToGrid w:val="0"/>
          <w:color w:val="auto"/>
          <w:sz w:val="28"/>
          <w:szCs w:val="28"/>
        </w:rPr>
        <w:lastRenderedPageBreak/>
        <w:t>采伐小班，</w:t>
      </w:r>
      <w:r>
        <w:rPr>
          <w:rFonts w:asciiTheme="minorEastAsia" w:eastAsiaTheme="minorEastAsia" w:hAnsiTheme="minorEastAsia" w:hint="eastAsia"/>
          <w:snapToGrid w:val="0"/>
          <w:color w:val="auto"/>
          <w:sz w:val="28"/>
          <w:szCs w:val="28"/>
        </w:rPr>
        <w:t>除</w:t>
      </w:r>
      <w:r>
        <w:rPr>
          <w:rFonts w:asciiTheme="minorEastAsia" w:eastAsiaTheme="minorEastAsia" w:hAnsiTheme="minorEastAsia" w:hint="eastAsia"/>
          <w:snapToGrid w:val="0"/>
          <w:color w:val="auto"/>
          <w:sz w:val="28"/>
          <w:szCs w:val="28"/>
        </w:rPr>
        <w:t>024</w:t>
      </w:r>
      <w:r>
        <w:rPr>
          <w:rFonts w:asciiTheme="minorEastAsia" w:eastAsiaTheme="minorEastAsia" w:hAnsiTheme="minorEastAsia" w:hint="eastAsia"/>
          <w:snapToGrid w:val="0"/>
          <w:color w:val="auto"/>
          <w:sz w:val="28"/>
          <w:szCs w:val="28"/>
        </w:rPr>
        <w:t>林班</w:t>
      </w:r>
      <w:r>
        <w:rPr>
          <w:rFonts w:asciiTheme="minorEastAsia" w:eastAsiaTheme="minorEastAsia" w:hAnsiTheme="minorEastAsia" w:hint="eastAsia"/>
          <w:snapToGrid w:val="0"/>
          <w:color w:val="auto"/>
          <w:sz w:val="28"/>
          <w:szCs w:val="28"/>
        </w:rPr>
        <w:t>10</w:t>
      </w:r>
      <w:r>
        <w:rPr>
          <w:rFonts w:asciiTheme="minorEastAsia" w:eastAsiaTheme="minorEastAsia" w:hAnsiTheme="minorEastAsia" w:hint="eastAsia"/>
          <w:snapToGrid w:val="0"/>
          <w:color w:val="auto"/>
          <w:sz w:val="28"/>
          <w:szCs w:val="28"/>
        </w:rPr>
        <w:t>大班</w:t>
      </w:r>
      <w:r>
        <w:rPr>
          <w:rFonts w:asciiTheme="minorEastAsia" w:eastAsiaTheme="minorEastAsia" w:hAnsiTheme="minorEastAsia" w:hint="eastAsia"/>
          <w:snapToGrid w:val="0"/>
          <w:color w:val="auto"/>
          <w:sz w:val="28"/>
          <w:szCs w:val="28"/>
        </w:rPr>
        <w:t>03</w:t>
      </w:r>
      <w:r>
        <w:rPr>
          <w:rFonts w:asciiTheme="minorEastAsia" w:eastAsiaTheme="minorEastAsia" w:hAnsiTheme="minorEastAsia" w:hint="eastAsia"/>
          <w:snapToGrid w:val="0"/>
          <w:color w:val="auto"/>
          <w:sz w:val="28"/>
          <w:szCs w:val="28"/>
        </w:rPr>
        <w:t>0</w:t>
      </w:r>
      <w:r>
        <w:rPr>
          <w:rFonts w:asciiTheme="minorEastAsia" w:eastAsiaTheme="minorEastAsia" w:hAnsiTheme="minorEastAsia" w:hint="eastAsia"/>
          <w:snapToGrid w:val="0"/>
          <w:color w:val="auto"/>
          <w:sz w:val="28"/>
          <w:szCs w:val="28"/>
        </w:rPr>
        <w:t>、</w:t>
      </w:r>
      <w:r>
        <w:rPr>
          <w:rFonts w:asciiTheme="minorEastAsia" w:eastAsiaTheme="minorEastAsia" w:hAnsiTheme="minorEastAsia" w:hint="eastAsia"/>
          <w:snapToGrid w:val="0"/>
          <w:color w:val="auto"/>
          <w:sz w:val="28"/>
          <w:szCs w:val="28"/>
        </w:rPr>
        <w:t>050</w:t>
      </w:r>
      <w:r>
        <w:rPr>
          <w:rFonts w:asciiTheme="minorEastAsia" w:eastAsiaTheme="minorEastAsia" w:hAnsiTheme="minorEastAsia" w:hint="eastAsia"/>
          <w:snapToGrid w:val="0"/>
          <w:color w:val="auto"/>
          <w:sz w:val="28"/>
          <w:szCs w:val="28"/>
        </w:rPr>
        <w:t>小班为皆伐外，其余小班均为择伐小班，仅对松类林木进行采伐。</w:t>
      </w:r>
      <w:r>
        <w:rPr>
          <w:rFonts w:asciiTheme="minorEastAsia" w:eastAsiaTheme="minorEastAsia" w:hAnsiTheme="minorEastAsia" w:hint="eastAsia"/>
          <w:b w:val="0"/>
          <w:snapToGrid w:val="0"/>
          <w:color w:val="auto"/>
          <w:sz w:val="28"/>
          <w:szCs w:val="28"/>
        </w:rPr>
        <w:t>择伐小班伐区内</w:t>
      </w:r>
      <w:r>
        <w:rPr>
          <w:rFonts w:asciiTheme="minorEastAsia" w:eastAsiaTheme="minorEastAsia" w:hAnsiTheme="minorEastAsia" w:hint="eastAsia"/>
          <w:b w:val="0"/>
          <w:color w:val="auto"/>
          <w:sz w:val="28"/>
          <w:szCs w:val="28"/>
        </w:rPr>
        <w:t>若因木材生产过程（采伐及开路等）确实无法避让，造成杉木和阔叶树被压倒、损毁的，</w:t>
      </w:r>
      <w:r>
        <w:rPr>
          <w:rFonts w:asciiTheme="minorEastAsia" w:eastAsiaTheme="minorEastAsia" w:hAnsiTheme="minorEastAsia" w:hint="eastAsia"/>
          <w:color w:val="auto"/>
          <w:sz w:val="28"/>
          <w:szCs w:val="28"/>
        </w:rPr>
        <w:t>杉木按</w:t>
      </w:r>
      <w:r>
        <w:rPr>
          <w:rFonts w:asciiTheme="minorEastAsia" w:eastAsiaTheme="minorEastAsia" w:hAnsiTheme="minorEastAsia" w:hint="eastAsia"/>
          <w:color w:val="auto"/>
          <w:sz w:val="28"/>
          <w:szCs w:val="28"/>
        </w:rPr>
        <w:t>700</w:t>
      </w:r>
      <w:r>
        <w:rPr>
          <w:rFonts w:asciiTheme="minorEastAsia" w:eastAsiaTheme="minorEastAsia" w:hAnsiTheme="minorEastAsia" w:hint="eastAsia"/>
          <w:color w:val="auto"/>
          <w:sz w:val="28"/>
          <w:szCs w:val="28"/>
        </w:rPr>
        <w:t>元</w:t>
      </w:r>
      <w:r>
        <w:rPr>
          <w:rFonts w:asciiTheme="minorEastAsia" w:eastAsiaTheme="minorEastAsia" w:hAnsiTheme="minorEastAsia" w:hint="eastAsia"/>
          <w:color w:val="auto"/>
          <w:sz w:val="28"/>
          <w:szCs w:val="28"/>
        </w:rPr>
        <w:t>/m</w:t>
      </w:r>
      <w:r>
        <w:rPr>
          <w:rFonts w:asciiTheme="minorEastAsia" w:eastAsiaTheme="minorEastAsia" w:hAnsiTheme="minorEastAsia" w:hint="eastAsia"/>
          <w:color w:val="auto"/>
          <w:sz w:val="28"/>
          <w:szCs w:val="28"/>
        </w:rPr>
        <w:t>³、阔叶树按</w:t>
      </w:r>
      <w:r>
        <w:rPr>
          <w:rFonts w:asciiTheme="minorEastAsia" w:eastAsiaTheme="minorEastAsia" w:hAnsiTheme="minorEastAsia" w:hint="eastAsia"/>
          <w:color w:val="auto"/>
          <w:sz w:val="28"/>
          <w:szCs w:val="28"/>
        </w:rPr>
        <w:t>500</w:t>
      </w:r>
      <w:r>
        <w:rPr>
          <w:rFonts w:asciiTheme="minorEastAsia" w:eastAsiaTheme="minorEastAsia" w:hAnsiTheme="minorEastAsia" w:hint="eastAsia"/>
          <w:color w:val="auto"/>
          <w:sz w:val="28"/>
          <w:szCs w:val="28"/>
        </w:rPr>
        <w:t>元</w:t>
      </w:r>
      <w:r>
        <w:rPr>
          <w:rFonts w:asciiTheme="minorEastAsia" w:eastAsiaTheme="minorEastAsia" w:hAnsiTheme="minorEastAsia" w:hint="eastAsia"/>
          <w:color w:val="auto"/>
          <w:sz w:val="28"/>
          <w:szCs w:val="28"/>
        </w:rPr>
        <w:t>/m</w:t>
      </w:r>
      <w:r>
        <w:rPr>
          <w:rFonts w:asciiTheme="minorEastAsia" w:eastAsiaTheme="minorEastAsia" w:hAnsiTheme="minorEastAsia" w:hint="eastAsia"/>
          <w:color w:val="auto"/>
          <w:sz w:val="28"/>
          <w:szCs w:val="28"/>
        </w:rPr>
        <w:t>³计算由受让方回收，</w:t>
      </w:r>
      <w:r>
        <w:rPr>
          <w:rFonts w:asciiTheme="minorEastAsia" w:eastAsiaTheme="minorEastAsia" w:hAnsiTheme="minorEastAsia" w:hint="eastAsia"/>
          <w:b w:val="0"/>
          <w:color w:val="auto"/>
          <w:sz w:val="28"/>
          <w:szCs w:val="28"/>
        </w:rPr>
        <w:t>且不得超过采伐证审批数。</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snapToGrid w:val="0"/>
          <w:color w:val="auto"/>
          <w:sz w:val="28"/>
          <w:szCs w:val="28"/>
        </w:rPr>
        <w:t>（五）</w:t>
      </w:r>
      <w:r>
        <w:rPr>
          <w:rFonts w:asciiTheme="minorEastAsia" w:eastAsiaTheme="minorEastAsia" w:hAnsiTheme="minorEastAsia" w:hint="eastAsia"/>
          <w:b w:val="0"/>
          <w:snapToGrid w:val="0"/>
          <w:color w:val="auto"/>
          <w:sz w:val="28"/>
          <w:szCs w:val="28"/>
        </w:rPr>
        <w:t>所有标的小班内的木荷防火林带和珍贵树种严禁采伐。</w:t>
      </w:r>
    </w:p>
    <w:p w:rsidR="00407FD3" w:rsidRDefault="00D17193">
      <w:pPr>
        <w:adjustRightInd w:val="0"/>
        <w:snapToGrid w:val="0"/>
        <w:spacing w:line="440" w:lineRule="exact"/>
        <w:ind w:firstLineChars="200" w:firstLine="562"/>
        <w:contextualSpacing/>
        <w:rPr>
          <w:rFonts w:asciiTheme="minorEastAsia" w:eastAsiaTheme="minorEastAsia" w:hAnsiTheme="minorEastAsia" w:cs="仿宋_GB2312"/>
          <w:b w:val="0"/>
          <w:bCs/>
          <w:snapToGrid w:val="0"/>
          <w:color w:val="auto"/>
          <w:sz w:val="28"/>
          <w:szCs w:val="28"/>
        </w:rPr>
      </w:pPr>
      <w:r>
        <w:rPr>
          <w:rFonts w:asciiTheme="minorEastAsia" w:eastAsiaTheme="minorEastAsia" w:hAnsiTheme="minorEastAsia" w:hint="eastAsia"/>
          <w:snapToGrid w:val="0"/>
          <w:color w:val="auto"/>
          <w:sz w:val="28"/>
          <w:szCs w:val="28"/>
        </w:rPr>
        <w:t>（六）</w:t>
      </w:r>
      <w:r>
        <w:rPr>
          <w:rFonts w:asciiTheme="minorEastAsia" w:eastAsiaTheme="minorEastAsia" w:hAnsiTheme="minorEastAsia" w:cs="仿宋_GB2312" w:hint="eastAsia"/>
          <w:b w:val="0"/>
          <w:bCs/>
          <w:snapToGrid w:val="0"/>
          <w:color w:val="auto"/>
          <w:sz w:val="28"/>
          <w:szCs w:val="28"/>
        </w:rPr>
        <w:t>为保护林区生态环境，严禁</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cs="仿宋_GB2312" w:hint="eastAsia"/>
          <w:b w:val="0"/>
          <w:bCs/>
          <w:snapToGrid w:val="0"/>
          <w:color w:val="auto"/>
          <w:sz w:val="28"/>
          <w:szCs w:val="28"/>
        </w:rPr>
        <w:t>在伐区内采挖树兜。</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snapToGrid w:val="0"/>
          <w:color w:val="auto"/>
          <w:sz w:val="28"/>
          <w:szCs w:val="28"/>
        </w:rPr>
        <w:t>（七）</w:t>
      </w:r>
      <w:r>
        <w:rPr>
          <w:rFonts w:asciiTheme="minorEastAsia" w:eastAsiaTheme="minorEastAsia" w:hAnsiTheme="minorEastAsia" w:hint="eastAsia"/>
          <w:b w:val="0"/>
          <w:bCs/>
          <w:snapToGrid w:val="0"/>
          <w:color w:val="auto"/>
          <w:sz w:val="28"/>
          <w:szCs w:val="28"/>
        </w:rPr>
        <w:t>如因雨季、台风等自然因素导致</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无法按期完成木材生产和销售，</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hint="eastAsia"/>
          <w:b w:val="0"/>
          <w:bCs/>
          <w:snapToGrid w:val="0"/>
          <w:color w:val="auto"/>
          <w:sz w:val="28"/>
          <w:szCs w:val="28"/>
        </w:rPr>
        <w:t>应在采伐期限截止前提前</w:t>
      </w:r>
      <w:r>
        <w:rPr>
          <w:rFonts w:asciiTheme="minorEastAsia" w:eastAsiaTheme="minorEastAsia" w:hAnsiTheme="minorEastAsia" w:hint="eastAsia"/>
          <w:b w:val="0"/>
          <w:snapToGrid w:val="0"/>
          <w:color w:val="auto"/>
          <w:sz w:val="28"/>
          <w:szCs w:val="28"/>
        </w:rPr>
        <w:t>30</w:t>
      </w:r>
      <w:r>
        <w:rPr>
          <w:rFonts w:asciiTheme="minorEastAsia" w:eastAsiaTheme="minorEastAsia" w:hAnsiTheme="minorEastAsia" w:hint="eastAsia"/>
          <w:b w:val="0"/>
          <w:snapToGrid w:val="0"/>
          <w:color w:val="auto"/>
          <w:sz w:val="28"/>
          <w:szCs w:val="28"/>
        </w:rPr>
        <w:t>天向转让方申请顺延采伐、销售期限并提供相应证据（包括但不限于天气证明、证人证言、现场录音录像等），经转让方核实同意、办理相关延期手续后方可进行木材生产和销售。延期期限以林木采伐政策规定为准。</w:t>
      </w:r>
    </w:p>
    <w:p w:rsidR="00407FD3" w:rsidRDefault="00D17193">
      <w:pPr>
        <w:adjustRightInd w:val="0"/>
        <w:snapToGrid w:val="0"/>
        <w:spacing w:line="440" w:lineRule="exact"/>
        <w:ind w:firstLineChars="200" w:firstLine="562"/>
        <w:contextualSpacing/>
        <w:rPr>
          <w:rFonts w:asciiTheme="minorEastAsia" w:eastAsiaTheme="minorEastAsia" w:hAnsiTheme="minorEastAsia" w:cs="仿宋_GB2312"/>
          <w:b w:val="0"/>
          <w:bCs/>
          <w:snapToGrid w:val="0"/>
          <w:color w:val="auto"/>
          <w:sz w:val="28"/>
          <w:szCs w:val="28"/>
        </w:rPr>
      </w:pPr>
      <w:r>
        <w:rPr>
          <w:rFonts w:asciiTheme="minorEastAsia" w:eastAsiaTheme="minorEastAsia" w:hAnsiTheme="minorEastAsia" w:hint="eastAsia"/>
          <w:snapToGrid w:val="0"/>
          <w:color w:val="auto"/>
          <w:sz w:val="28"/>
          <w:szCs w:val="28"/>
        </w:rPr>
        <w:t>（八）</w:t>
      </w:r>
      <w:r>
        <w:rPr>
          <w:rFonts w:asciiTheme="minorEastAsia" w:eastAsiaTheme="minorEastAsia" w:hAnsiTheme="minorEastAsia" w:hint="eastAsia"/>
          <w:b w:val="0"/>
          <w:snapToGrid w:val="0"/>
          <w:color w:val="auto"/>
          <w:sz w:val="28"/>
          <w:szCs w:val="28"/>
        </w:rPr>
        <w:t>买受人</w:t>
      </w:r>
      <w:r>
        <w:rPr>
          <w:rFonts w:asciiTheme="minorEastAsia" w:eastAsiaTheme="minorEastAsia" w:hAnsiTheme="minorEastAsia" w:cs="仿宋_GB2312" w:hint="eastAsia"/>
          <w:b w:val="0"/>
          <w:bCs/>
          <w:snapToGrid w:val="0"/>
          <w:color w:val="auto"/>
          <w:sz w:val="28"/>
          <w:szCs w:val="28"/>
        </w:rPr>
        <w:t>在木材生产、销售过程中自行解决、处理涉村涉民利益关系以及村民提出的各种纠纷问题，包括但不限于征占用林地、坟地、墓树、农田、水渠、荒田荒地、毛竹林地、果山、油茶山、自留山、过田过路过桥（含村道、机耕道等）等。因生产造成损害的，由</w:t>
      </w:r>
      <w:r>
        <w:rPr>
          <w:rFonts w:asciiTheme="minorEastAsia" w:eastAsiaTheme="minorEastAsia" w:hAnsiTheme="minorEastAsia" w:hint="eastAsia"/>
          <w:b w:val="0"/>
          <w:snapToGrid w:val="0"/>
          <w:color w:val="auto"/>
          <w:sz w:val="28"/>
          <w:szCs w:val="28"/>
        </w:rPr>
        <w:t>买受人自行协调、处理，并承担相应经济、民事责任。</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bCs/>
          <w:snapToGrid w:val="0"/>
          <w:color w:val="auto"/>
          <w:sz w:val="28"/>
          <w:szCs w:val="28"/>
        </w:rPr>
      </w:pPr>
      <w:r>
        <w:rPr>
          <w:rFonts w:asciiTheme="minorEastAsia" w:eastAsiaTheme="minorEastAsia" w:hAnsiTheme="minorEastAsia" w:hint="eastAsia"/>
          <w:snapToGrid w:val="0"/>
          <w:color w:val="auto"/>
          <w:sz w:val="28"/>
          <w:szCs w:val="28"/>
        </w:rPr>
        <w:t>（九）</w:t>
      </w:r>
      <w:r>
        <w:rPr>
          <w:rFonts w:asciiTheme="minorEastAsia" w:eastAsiaTheme="minorEastAsia" w:hAnsiTheme="minorEastAsia" w:hint="eastAsia"/>
          <w:b w:val="0"/>
          <w:snapToGrid w:val="0"/>
          <w:color w:val="auto"/>
          <w:sz w:val="28"/>
          <w:szCs w:val="28"/>
        </w:rPr>
        <w:t>本须知作为《活立</w:t>
      </w:r>
      <w:r>
        <w:rPr>
          <w:rFonts w:asciiTheme="minorEastAsia" w:eastAsiaTheme="minorEastAsia" w:hAnsiTheme="minorEastAsia" w:hint="eastAsia"/>
          <w:b w:val="0"/>
          <w:bCs/>
          <w:snapToGrid w:val="0"/>
          <w:color w:val="auto"/>
          <w:sz w:val="28"/>
          <w:szCs w:val="28"/>
        </w:rPr>
        <w:t>木转让</w:t>
      </w:r>
      <w:r>
        <w:rPr>
          <w:rFonts w:asciiTheme="minorEastAsia" w:eastAsiaTheme="minorEastAsia" w:hAnsiTheme="minorEastAsia" w:hint="eastAsia"/>
          <w:b w:val="0"/>
          <w:bCs/>
          <w:snapToGrid w:val="0"/>
          <w:color w:val="auto"/>
          <w:sz w:val="28"/>
          <w:szCs w:val="28"/>
        </w:rPr>
        <w:t>合同》的组成部分，具有同等的法律效力。本须知的解释权归转让方。</w:t>
      </w:r>
    </w:p>
    <w:p w:rsidR="00407FD3" w:rsidRDefault="00D17193">
      <w:pPr>
        <w:adjustRightInd w:val="0"/>
        <w:snapToGrid w:val="0"/>
        <w:spacing w:line="440" w:lineRule="exact"/>
        <w:ind w:firstLineChars="200" w:firstLine="562"/>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snapToGrid w:val="0"/>
          <w:color w:val="auto"/>
          <w:sz w:val="28"/>
          <w:szCs w:val="28"/>
        </w:rPr>
        <w:t>（十）</w:t>
      </w:r>
      <w:r>
        <w:rPr>
          <w:rFonts w:asciiTheme="minorEastAsia" w:eastAsiaTheme="minorEastAsia" w:hAnsiTheme="minorEastAsia" w:hint="eastAsia"/>
          <w:b w:val="0"/>
          <w:bCs/>
          <w:snapToGrid w:val="0"/>
          <w:color w:val="auto"/>
          <w:sz w:val="28"/>
          <w:szCs w:val="28"/>
        </w:rPr>
        <w:t>因履行本须知和《活立木转让合同》等</w:t>
      </w:r>
      <w:r>
        <w:rPr>
          <w:rFonts w:asciiTheme="minorEastAsia" w:eastAsiaTheme="minorEastAsia" w:hAnsiTheme="minorEastAsia" w:hint="eastAsia"/>
          <w:b w:val="0"/>
          <w:snapToGrid w:val="0"/>
          <w:color w:val="auto"/>
          <w:sz w:val="28"/>
          <w:szCs w:val="28"/>
        </w:rPr>
        <w:t>产生的争议或纠纷，各方当事人同意将争议或纠纷交由转让方所在地即福建省清流县人民法院管辖。</w:t>
      </w:r>
    </w:p>
    <w:p w:rsidR="00407FD3" w:rsidRDefault="00407FD3">
      <w:pPr>
        <w:spacing w:line="440" w:lineRule="exact"/>
        <w:ind w:firstLineChars="200" w:firstLine="560"/>
        <w:rPr>
          <w:rFonts w:asciiTheme="minorEastAsia" w:eastAsiaTheme="minorEastAsia" w:hAnsiTheme="minorEastAsia"/>
          <w:b w:val="0"/>
          <w:color w:val="auto"/>
          <w:sz w:val="28"/>
          <w:szCs w:val="28"/>
        </w:rPr>
      </w:pPr>
    </w:p>
    <w:p w:rsidR="00407FD3" w:rsidRDefault="00407FD3">
      <w:pPr>
        <w:spacing w:line="440" w:lineRule="exact"/>
        <w:ind w:firstLineChars="200" w:firstLine="560"/>
        <w:rPr>
          <w:rFonts w:asciiTheme="minorEastAsia" w:eastAsiaTheme="minorEastAsia" w:hAnsiTheme="minorEastAsia"/>
          <w:b w:val="0"/>
          <w:color w:val="auto"/>
          <w:sz w:val="28"/>
          <w:szCs w:val="28"/>
        </w:rPr>
      </w:pPr>
    </w:p>
    <w:p w:rsidR="00407FD3" w:rsidRDefault="00407FD3">
      <w:pPr>
        <w:spacing w:line="440" w:lineRule="exact"/>
        <w:ind w:firstLineChars="200" w:firstLine="560"/>
        <w:rPr>
          <w:rFonts w:asciiTheme="minorEastAsia" w:eastAsiaTheme="minorEastAsia" w:hAnsiTheme="minorEastAsia"/>
          <w:b w:val="0"/>
          <w:color w:val="auto"/>
          <w:sz w:val="28"/>
          <w:szCs w:val="28"/>
        </w:rPr>
      </w:pPr>
    </w:p>
    <w:p w:rsidR="00407FD3" w:rsidRDefault="00D17193">
      <w:pPr>
        <w:spacing w:line="440" w:lineRule="exact"/>
        <w:ind w:firstLineChars="1200" w:firstLine="3360"/>
        <w:rPr>
          <w:rFonts w:asciiTheme="minorEastAsia" w:eastAsiaTheme="minorEastAsia" w:hAnsiTheme="minorEastAsia"/>
          <w:b w:val="0"/>
          <w:color w:val="auto"/>
          <w:sz w:val="28"/>
          <w:szCs w:val="28"/>
        </w:rPr>
      </w:pPr>
      <w:r>
        <w:rPr>
          <w:rFonts w:asciiTheme="minorEastAsia" w:eastAsiaTheme="minorEastAsia" w:hAnsiTheme="minorEastAsia" w:hint="eastAsia"/>
          <w:b w:val="0"/>
          <w:color w:val="auto"/>
          <w:sz w:val="28"/>
          <w:szCs w:val="28"/>
        </w:rPr>
        <w:t>转让方：福建省清流国有林场</w:t>
      </w:r>
      <w:r>
        <w:rPr>
          <w:rFonts w:asciiTheme="minorEastAsia" w:eastAsiaTheme="minorEastAsia" w:hAnsiTheme="minorEastAsia"/>
          <w:b w:val="0"/>
          <w:color w:val="auto"/>
          <w:sz w:val="28"/>
          <w:szCs w:val="28"/>
        </w:rPr>
        <w:t xml:space="preserve"> </w:t>
      </w:r>
    </w:p>
    <w:p w:rsidR="00407FD3" w:rsidRDefault="00D17193">
      <w:pPr>
        <w:spacing w:line="440" w:lineRule="exact"/>
        <w:ind w:firstLineChars="1200" w:firstLine="3360"/>
        <w:rPr>
          <w:rFonts w:asciiTheme="minorEastAsia" w:eastAsiaTheme="minorEastAsia" w:hAnsiTheme="minorEastAsia"/>
          <w:b w:val="0"/>
          <w:bCs/>
          <w:color w:val="auto"/>
          <w:sz w:val="28"/>
          <w:szCs w:val="28"/>
        </w:rPr>
      </w:pPr>
      <w:r>
        <w:rPr>
          <w:rFonts w:asciiTheme="minorEastAsia" w:eastAsiaTheme="minorEastAsia" w:hAnsiTheme="minorEastAsia" w:hint="eastAsia"/>
          <w:b w:val="0"/>
          <w:color w:val="auto"/>
          <w:sz w:val="28"/>
          <w:szCs w:val="28"/>
        </w:rPr>
        <w:t>地址：清流县龙津镇长兴南街</w:t>
      </w:r>
      <w:r>
        <w:rPr>
          <w:rFonts w:asciiTheme="minorEastAsia" w:eastAsiaTheme="minorEastAsia" w:hAnsiTheme="minorEastAsia" w:hint="eastAsia"/>
          <w:b w:val="0"/>
          <w:color w:val="auto"/>
          <w:sz w:val="28"/>
          <w:szCs w:val="28"/>
        </w:rPr>
        <w:t>22</w:t>
      </w:r>
      <w:r>
        <w:rPr>
          <w:rFonts w:asciiTheme="minorEastAsia" w:eastAsiaTheme="minorEastAsia" w:hAnsiTheme="minorEastAsia" w:hint="eastAsia"/>
          <w:b w:val="0"/>
          <w:color w:val="auto"/>
          <w:sz w:val="28"/>
          <w:szCs w:val="28"/>
        </w:rPr>
        <w:t>幢</w:t>
      </w:r>
    </w:p>
    <w:p w:rsidR="00407FD3" w:rsidRDefault="00D17193">
      <w:pPr>
        <w:spacing w:line="440" w:lineRule="exact"/>
        <w:ind w:firstLineChars="1200" w:firstLine="3360"/>
        <w:rPr>
          <w:rFonts w:asciiTheme="minorEastAsia" w:eastAsiaTheme="minorEastAsia" w:hAnsiTheme="minorEastAsia"/>
          <w:b w:val="0"/>
          <w:color w:val="FF0000"/>
          <w:sz w:val="28"/>
          <w:szCs w:val="28"/>
        </w:rPr>
      </w:pPr>
      <w:r>
        <w:rPr>
          <w:rFonts w:asciiTheme="minorEastAsia" w:eastAsiaTheme="minorEastAsia" w:hAnsiTheme="minorEastAsia" w:hint="eastAsia"/>
          <w:b w:val="0"/>
          <w:color w:val="FF0000"/>
          <w:sz w:val="28"/>
          <w:szCs w:val="28"/>
        </w:rPr>
        <w:t>2026</w:t>
      </w:r>
      <w:r>
        <w:rPr>
          <w:rFonts w:asciiTheme="minorEastAsia" w:eastAsiaTheme="minorEastAsia" w:hAnsiTheme="minorEastAsia" w:hint="eastAsia"/>
          <w:b w:val="0"/>
          <w:color w:val="FF0000"/>
          <w:sz w:val="28"/>
          <w:szCs w:val="28"/>
        </w:rPr>
        <w:t>年</w:t>
      </w:r>
      <w:r>
        <w:rPr>
          <w:rFonts w:asciiTheme="minorEastAsia" w:eastAsiaTheme="minorEastAsia" w:hAnsiTheme="minorEastAsia" w:hint="eastAsia"/>
          <w:b w:val="0"/>
          <w:color w:val="FF0000"/>
          <w:sz w:val="28"/>
          <w:szCs w:val="28"/>
        </w:rPr>
        <w:t>10</w:t>
      </w:r>
      <w:r>
        <w:rPr>
          <w:rFonts w:asciiTheme="minorEastAsia" w:eastAsiaTheme="minorEastAsia" w:hAnsiTheme="minorEastAsia" w:hint="eastAsia"/>
          <w:b w:val="0"/>
          <w:color w:val="FF0000"/>
          <w:sz w:val="28"/>
          <w:szCs w:val="28"/>
        </w:rPr>
        <w:t>月</w:t>
      </w:r>
      <w:r>
        <w:rPr>
          <w:rFonts w:asciiTheme="minorEastAsia" w:eastAsiaTheme="minorEastAsia" w:hAnsiTheme="minorEastAsia" w:hint="eastAsia"/>
          <w:b w:val="0"/>
          <w:color w:val="FF0000"/>
          <w:sz w:val="28"/>
          <w:szCs w:val="28"/>
        </w:rPr>
        <w:t>10</w:t>
      </w:r>
      <w:r>
        <w:rPr>
          <w:rFonts w:asciiTheme="minorEastAsia" w:eastAsiaTheme="minorEastAsia" w:hAnsiTheme="minorEastAsia" w:hint="eastAsia"/>
          <w:b w:val="0"/>
          <w:color w:val="FF0000"/>
          <w:sz w:val="28"/>
          <w:szCs w:val="28"/>
        </w:rPr>
        <w:t>日</w:t>
      </w:r>
    </w:p>
    <w:sectPr w:rsidR="00407FD3" w:rsidSect="00407FD3">
      <w:footerReference w:type="even" r:id="rId7"/>
      <w:footerReference w:type="default" r:id="rId8"/>
      <w:pgSz w:w="11906" w:h="16838"/>
      <w:pgMar w:top="1440" w:right="1797" w:bottom="1440" w:left="1797" w:header="567" w:footer="567" w:gutter="0"/>
      <w:cols w:space="720"/>
      <w:docGrid w:linePitch="114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7193" w:rsidRDefault="00D17193" w:rsidP="00407FD3">
      <w:r>
        <w:separator/>
      </w:r>
    </w:p>
  </w:endnote>
  <w:endnote w:type="continuationSeparator" w:id="0">
    <w:p w:rsidR="00D17193" w:rsidRDefault="00D17193" w:rsidP="00407FD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FD3" w:rsidRDefault="00407FD3">
    <w:pPr>
      <w:pStyle w:val="a4"/>
      <w:framePr w:wrap="around" w:vAnchor="text" w:hAnchor="margin" w:xAlign="right" w:y="1"/>
      <w:rPr>
        <w:rStyle w:val="a8"/>
      </w:rPr>
    </w:pPr>
    <w:r>
      <w:fldChar w:fldCharType="begin"/>
    </w:r>
    <w:r w:rsidR="00D17193">
      <w:rPr>
        <w:rStyle w:val="a8"/>
      </w:rPr>
      <w:instrText xml:space="preserve">PAGE  </w:instrText>
    </w:r>
    <w:r>
      <w:fldChar w:fldCharType="end"/>
    </w:r>
  </w:p>
  <w:p w:rsidR="00407FD3" w:rsidRDefault="00407FD3">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FD3" w:rsidRDefault="00407FD3">
    <w:pPr>
      <w:pStyle w:val="a4"/>
      <w:framePr w:wrap="around" w:vAnchor="text" w:hAnchor="margin" w:xAlign="right" w:y="1"/>
      <w:rPr>
        <w:rStyle w:val="a8"/>
        <w:b w:val="0"/>
        <w:color w:val="auto"/>
      </w:rPr>
    </w:pPr>
    <w:r>
      <w:rPr>
        <w:b w:val="0"/>
        <w:color w:val="auto"/>
      </w:rPr>
      <w:fldChar w:fldCharType="begin"/>
    </w:r>
    <w:r w:rsidR="00D17193">
      <w:rPr>
        <w:rStyle w:val="a8"/>
        <w:b w:val="0"/>
        <w:color w:val="auto"/>
      </w:rPr>
      <w:instrText xml:space="preserve">PAGE  </w:instrText>
    </w:r>
    <w:r>
      <w:rPr>
        <w:b w:val="0"/>
        <w:color w:val="auto"/>
      </w:rPr>
      <w:fldChar w:fldCharType="separate"/>
    </w:r>
    <w:r w:rsidR="00D56AF5">
      <w:rPr>
        <w:rStyle w:val="a8"/>
        <w:b w:val="0"/>
        <w:noProof/>
        <w:color w:val="auto"/>
      </w:rPr>
      <w:t>1</w:t>
    </w:r>
    <w:r>
      <w:rPr>
        <w:b w:val="0"/>
        <w:color w:val="auto"/>
      </w:rPr>
      <w:fldChar w:fldCharType="end"/>
    </w:r>
  </w:p>
  <w:p w:rsidR="00407FD3" w:rsidRDefault="00407FD3">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7193" w:rsidRDefault="00D17193" w:rsidP="00407FD3">
      <w:r>
        <w:separator/>
      </w:r>
    </w:p>
  </w:footnote>
  <w:footnote w:type="continuationSeparator" w:id="0">
    <w:p w:rsidR="00D17193" w:rsidRDefault="00D17193" w:rsidP="00407FD3">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75">
    <w15:presenceInfo w15:providerId="WPS Office" w15:userId="141358986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TU0MjEyMWZiNDFhZmM5ZWM0NmQxNzBhNzRlYTY0YTkifQ=="/>
  </w:docVars>
  <w:rsids>
    <w:rsidRoot w:val="00C36C74"/>
    <w:rsid w:val="00013706"/>
    <w:rsid w:val="000202DA"/>
    <w:rsid w:val="00023EF1"/>
    <w:rsid w:val="000323AD"/>
    <w:rsid w:val="00053A76"/>
    <w:rsid w:val="00057710"/>
    <w:rsid w:val="000626D7"/>
    <w:rsid w:val="00064B96"/>
    <w:rsid w:val="000747AD"/>
    <w:rsid w:val="00074A10"/>
    <w:rsid w:val="00082DF7"/>
    <w:rsid w:val="00085814"/>
    <w:rsid w:val="00096E49"/>
    <w:rsid w:val="000A47C5"/>
    <w:rsid w:val="000B30B2"/>
    <w:rsid w:val="000B6037"/>
    <w:rsid w:val="000C0CE7"/>
    <w:rsid w:val="000C113E"/>
    <w:rsid w:val="000C12B8"/>
    <w:rsid w:val="000D248C"/>
    <w:rsid w:val="000E0C01"/>
    <w:rsid w:val="000E4188"/>
    <w:rsid w:val="000E5673"/>
    <w:rsid w:val="000F4272"/>
    <w:rsid w:val="001049B4"/>
    <w:rsid w:val="001104D9"/>
    <w:rsid w:val="00114AB1"/>
    <w:rsid w:val="00121671"/>
    <w:rsid w:val="00133DDF"/>
    <w:rsid w:val="0013484E"/>
    <w:rsid w:val="00135FB6"/>
    <w:rsid w:val="001601D5"/>
    <w:rsid w:val="001631E9"/>
    <w:rsid w:val="00181145"/>
    <w:rsid w:val="00193A01"/>
    <w:rsid w:val="00197A59"/>
    <w:rsid w:val="001A0792"/>
    <w:rsid w:val="001B14A2"/>
    <w:rsid w:val="001D1030"/>
    <w:rsid w:val="001E490B"/>
    <w:rsid w:val="00201C6B"/>
    <w:rsid w:val="002056BF"/>
    <w:rsid w:val="00206694"/>
    <w:rsid w:val="002072A1"/>
    <w:rsid w:val="002143E7"/>
    <w:rsid w:val="0021575B"/>
    <w:rsid w:val="00215B6B"/>
    <w:rsid w:val="00221FC4"/>
    <w:rsid w:val="002264AB"/>
    <w:rsid w:val="00230390"/>
    <w:rsid w:val="00273719"/>
    <w:rsid w:val="00287B50"/>
    <w:rsid w:val="002969AD"/>
    <w:rsid w:val="002A1336"/>
    <w:rsid w:val="002B0D4D"/>
    <w:rsid w:val="002D2232"/>
    <w:rsid w:val="002D4255"/>
    <w:rsid w:val="002E2344"/>
    <w:rsid w:val="0031137E"/>
    <w:rsid w:val="0031371F"/>
    <w:rsid w:val="00331AA5"/>
    <w:rsid w:val="00333CC9"/>
    <w:rsid w:val="00334644"/>
    <w:rsid w:val="003419FF"/>
    <w:rsid w:val="003446EE"/>
    <w:rsid w:val="00354789"/>
    <w:rsid w:val="00381496"/>
    <w:rsid w:val="00394560"/>
    <w:rsid w:val="00396116"/>
    <w:rsid w:val="003C4341"/>
    <w:rsid w:val="003E5D40"/>
    <w:rsid w:val="003E7CE5"/>
    <w:rsid w:val="00400B48"/>
    <w:rsid w:val="00402591"/>
    <w:rsid w:val="00402691"/>
    <w:rsid w:val="004036D3"/>
    <w:rsid w:val="00407FD3"/>
    <w:rsid w:val="00410EEE"/>
    <w:rsid w:val="00411BDA"/>
    <w:rsid w:val="00457850"/>
    <w:rsid w:val="0046297B"/>
    <w:rsid w:val="0046734A"/>
    <w:rsid w:val="004715AF"/>
    <w:rsid w:val="004730E1"/>
    <w:rsid w:val="004736BB"/>
    <w:rsid w:val="004739C1"/>
    <w:rsid w:val="00490F34"/>
    <w:rsid w:val="00493CE5"/>
    <w:rsid w:val="004955F9"/>
    <w:rsid w:val="00496C38"/>
    <w:rsid w:val="004A0881"/>
    <w:rsid w:val="004A6402"/>
    <w:rsid w:val="004B0705"/>
    <w:rsid w:val="004B1995"/>
    <w:rsid w:val="004C10D3"/>
    <w:rsid w:val="004C1331"/>
    <w:rsid w:val="004C6240"/>
    <w:rsid w:val="004D757F"/>
    <w:rsid w:val="00510A78"/>
    <w:rsid w:val="00532262"/>
    <w:rsid w:val="00533FD3"/>
    <w:rsid w:val="00545495"/>
    <w:rsid w:val="005701CE"/>
    <w:rsid w:val="00582CD3"/>
    <w:rsid w:val="0058383E"/>
    <w:rsid w:val="00597F77"/>
    <w:rsid w:val="005A53A6"/>
    <w:rsid w:val="005C01D6"/>
    <w:rsid w:val="005C3F9B"/>
    <w:rsid w:val="005D1A90"/>
    <w:rsid w:val="005D39EF"/>
    <w:rsid w:val="005E1E19"/>
    <w:rsid w:val="005F0D9C"/>
    <w:rsid w:val="005F7940"/>
    <w:rsid w:val="00604598"/>
    <w:rsid w:val="00622E3A"/>
    <w:rsid w:val="00625B02"/>
    <w:rsid w:val="0063691B"/>
    <w:rsid w:val="00642C67"/>
    <w:rsid w:val="00665A84"/>
    <w:rsid w:val="006703C2"/>
    <w:rsid w:val="00693913"/>
    <w:rsid w:val="006A1176"/>
    <w:rsid w:val="006C5AB9"/>
    <w:rsid w:val="006E3424"/>
    <w:rsid w:val="006F0B3F"/>
    <w:rsid w:val="007053E1"/>
    <w:rsid w:val="00707461"/>
    <w:rsid w:val="007132DF"/>
    <w:rsid w:val="00724380"/>
    <w:rsid w:val="00726A20"/>
    <w:rsid w:val="00736830"/>
    <w:rsid w:val="0074706B"/>
    <w:rsid w:val="00751CB6"/>
    <w:rsid w:val="00754915"/>
    <w:rsid w:val="007601B5"/>
    <w:rsid w:val="00774FB9"/>
    <w:rsid w:val="007B6413"/>
    <w:rsid w:val="007C3D79"/>
    <w:rsid w:val="007E2AFC"/>
    <w:rsid w:val="0080263C"/>
    <w:rsid w:val="008060DF"/>
    <w:rsid w:val="00811C34"/>
    <w:rsid w:val="00814FEF"/>
    <w:rsid w:val="00816CCD"/>
    <w:rsid w:val="008263B0"/>
    <w:rsid w:val="008329FE"/>
    <w:rsid w:val="00842307"/>
    <w:rsid w:val="00845B7D"/>
    <w:rsid w:val="00856BE3"/>
    <w:rsid w:val="00863DBE"/>
    <w:rsid w:val="00871EAC"/>
    <w:rsid w:val="008735F0"/>
    <w:rsid w:val="008B22CD"/>
    <w:rsid w:val="008B2453"/>
    <w:rsid w:val="008D65C4"/>
    <w:rsid w:val="008E0201"/>
    <w:rsid w:val="008E1FD6"/>
    <w:rsid w:val="008E32C4"/>
    <w:rsid w:val="008E7A26"/>
    <w:rsid w:val="008F39F7"/>
    <w:rsid w:val="00901978"/>
    <w:rsid w:val="00903157"/>
    <w:rsid w:val="00912181"/>
    <w:rsid w:val="009217FD"/>
    <w:rsid w:val="00923992"/>
    <w:rsid w:val="009572E7"/>
    <w:rsid w:val="00961DE1"/>
    <w:rsid w:val="009633C5"/>
    <w:rsid w:val="009830EF"/>
    <w:rsid w:val="009A7EC0"/>
    <w:rsid w:val="009B0304"/>
    <w:rsid w:val="009B09CD"/>
    <w:rsid w:val="009B7027"/>
    <w:rsid w:val="009B7CC1"/>
    <w:rsid w:val="009D1B80"/>
    <w:rsid w:val="009D59A8"/>
    <w:rsid w:val="009E76F1"/>
    <w:rsid w:val="009F39AF"/>
    <w:rsid w:val="00A107D7"/>
    <w:rsid w:val="00A24262"/>
    <w:rsid w:val="00A243AC"/>
    <w:rsid w:val="00A27EBC"/>
    <w:rsid w:val="00A33475"/>
    <w:rsid w:val="00A404BD"/>
    <w:rsid w:val="00A5635C"/>
    <w:rsid w:val="00A64F9A"/>
    <w:rsid w:val="00A67339"/>
    <w:rsid w:val="00A825C1"/>
    <w:rsid w:val="00A92368"/>
    <w:rsid w:val="00AA21CE"/>
    <w:rsid w:val="00AA33EB"/>
    <w:rsid w:val="00AA3FB2"/>
    <w:rsid w:val="00AB4447"/>
    <w:rsid w:val="00AC0116"/>
    <w:rsid w:val="00AC28AA"/>
    <w:rsid w:val="00AC7E1D"/>
    <w:rsid w:val="00AD38A5"/>
    <w:rsid w:val="00AE60C9"/>
    <w:rsid w:val="00AF5715"/>
    <w:rsid w:val="00B01E86"/>
    <w:rsid w:val="00B04386"/>
    <w:rsid w:val="00B1011E"/>
    <w:rsid w:val="00B12885"/>
    <w:rsid w:val="00B2184D"/>
    <w:rsid w:val="00B24E30"/>
    <w:rsid w:val="00B30F5C"/>
    <w:rsid w:val="00B65981"/>
    <w:rsid w:val="00B70763"/>
    <w:rsid w:val="00B775BA"/>
    <w:rsid w:val="00B833B8"/>
    <w:rsid w:val="00BA4DEA"/>
    <w:rsid w:val="00BB7D25"/>
    <w:rsid w:val="00BC5490"/>
    <w:rsid w:val="00BD10FB"/>
    <w:rsid w:val="00BF16E1"/>
    <w:rsid w:val="00BF2A03"/>
    <w:rsid w:val="00C02CE6"/>
    <w:rsid w:val="00C209EE"/>
    <w:rsid w:val="00C22C88"/>
    <w:rsid w:val="00C241E8"/>
    <w:rsid w:val="00C31A3D"/>
    <w:rsid w:val="00C34503"/>
    <w:rsid w:val="00C36C74"/>
    <w:rsid w:val="00C37091"/>
    <w:rsid w:val="00C433B0"/>
    <w:rsid w:val="00C548F9"/>
    <w:rsid w:val="00C610F0"/>
    <w:rsid w:val="00C719DA"/>
    <w:rsid w:val="00C72497"/>
    <w:rsid w:val="00C75D88"/>
    <w:rsid w:val="00C805D6"/>
    <w:rsid w:val="00C82FD8"/>
    <w:rsid w:val="00C84CC6"/>
    <w:rsid w:val="00C87205"/>
    <w:rsid w:val="00CA177C"/>
    <w:rsid w:val="00CB27F0"/>
    <w:rsid w:val="00CB5552"/>
    <w:rsid w:val="00CB6A06"/>
    <w:rsid w:val="00CB6B36"/>
    <w:rsid w:val="00CC4601"/>
    <w:rsid w:val="00CC60E1"/>
    <w:rsid w:val="00D0272F"/>
    <w:rsid w:val="00D17193"/>
    <w:rsid w:val="00D207EB"/>
    <w:rsid w:val="00D20ADB"/>
    <w:rsid w:val="00D22113"/>
    <w:rsid w:val="00D36019"/>
    <w:rsid w:val="00D36823"/>
    <w:rsid w:val="00D5277B"/>
    <w:rsid w:val="00D53C23"/>
    <w:rsid w:val="00D544CE"/>
    <w:rsid w:val="00D56AF5"/>
    <w:rsid w:val="00D61967"/>
    <w:rsid w:val="00D64E7B"/>
    <w:rsid w:val="00D7137E"/>
    <w:rsid w:val="00D7394C"/>
    <w:rsid w:val="00D76D44"/>
    <w:rsid w:val="00D97A25"/>
    <w:rsid w:val="00DA1D85"/>
    <w:rsid w:val="00DA63A1"/>
    <w:rsid w:val="00DB5F60"/>
    <w:rsid w:val="00E048A1"/>
    <w:rsid w:val="00E34A33"/>
    <w:rsid w:val="00E374FC"/>
    <w:rsid w:val="00E409E1"/>
    <w:rsid w:val="00E45C8E"/>
    <w:rsid w:val="00E72DF6"/>
    <w:rsid w:val="00E7567A"/>
    <w:rsid w:val="00E936A2"/>
    <w:rsid w:val="00EB642A"/>
    <w:rsid w:val="00EB7CF6"/>
    <w:rsid w:val="00EC1BE9"/>
    <w:rsid w:val="00EC43E9"/>
    <w:rsid w:val="00ED55FD"/>
    <w:rsid w:val="00EF0C96"/>
    <w:rsid w:val="00F01132"/>
    <w:rsid w:val="00F02196"/>
    <w:rsid w:val="00F026BD"/>
    <w:rsid w:val="00F112E5"/>
    <w:rsid w:val="00F13989"/>
    <w:rsid w:val="00F22820"/>
    <w:rsid w:val="00F26C23"/>
    <w:rsid w:val="00F3104B"/>
    <w:rsid w:val="00F37E18"/>
    <w:rsid w:val="00F40B7C"/>
    <w:rsid w:val="00F63311"/>
    <w:rsid w:val="00F63E40"/>
    <w:rsid w:val="00F70BA0"/>
    <w:rsid w:val="00F74165"/>
    <w:rsid w:val="00F9017A"/>
    <w:rsid w:val="00FA061C"/>
    <w:rsid w:val="00FA7E61"/>
    <w:rsid w:val="00FB63F6"/>
    <w:rsid w:val="00FC1F3A"/>
    <w:rsid w:val="00FC1FE7"/>
    <w:rsid w:val="00FC2223"/>
    <w:rsid w:val="00FE2C64"/>
    <w:rsid w:val="00FF069A"/>
    <w:rsid w:val="0E226AD8"/>
    <w:rsid w:val="16414FD9"/>
    <w:rsid w:val="1C500572"/>
    <w:rsid w:val="260867DA"/>
    <w:rsid w:val="27C71BA5"/>
    <w:rsid w:val="29762D97"/>
    <w:rsid w:val="345F4BD9"/>
    <w:rsid w:val="3777547D"/>
    <w:rsid w:val="44991384"/>
    <w:rsid w:val="5115549D"/>
    <w:rsid w:val="52745914"/>
    <w:rsid w:val="612D286F"/>
    <w:rsid w:val="62B44EF6"/>
    <w:rsid w:val="63F56933"/>
    <w:rsid w:val="687A7D56"/>
    <w:rsid w:val="709B14BF"/>
    <w:rsid w:val="70EC2040"/>
    <w:rsid w:val="767A78D0"/>
    <w:rsid w:val="78F71947"/>
    <w:rsid w:val="79973C9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7FD3"/>
    <w:pPr>
      <w:widowControl w:val="0"/>
      <w:jc w:val="both"/>
    </w:pPr>
    <w:rPr>
      <w:rFonts w:ascii="Times New Roman" w:eastAsia="宋体" w:hAnsi="Times New Roman" w:cs="Times New Roman"/>
      <w:b/>
      <w:color w:val="FF9900"/>
      <w:kern w:val="2"/>
      <w:sz w:val="8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407FD3"/>
    <w:rPr>
      <w:sz w:val="18"/>
      <w:szCs w:val="18"/>
    </w:rPr>
  </w:style>
  <w:style w:type="paragraph" w:styleId="a4">
    <w:name w:val="footer"/>
    <w:basedOn w:val="a"/>
    <w:link w:val="Char0"/>
    <w:qFormat/>
    <w:rsid w:val="00407FD3"/>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407FD3"/>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rsid w:val="00407F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qFormat/>
    <w:rsid w:val="00407FD3"/>
    <w:rPr>
      <w:b/>
      <w:bCs/>
    </w:rPr>
  </w:style>
  <w:style w:type="character" w:styleId="a8">
    <w:name w:val="page number"/>
    <w:basedOn w:val="a0"/>
    <w:qFormat/>
    <w:rsid w:val="00407FD3"/>
  </w:style>
  <w:style w:type="character" w:customStyle="1" w:styleId="Char0">
    <w:name w:val="页脚 Char"/>
    <w:basedOn w:val="a0"/>
    <w:link w:val="a4"/>
    <w:qFormat/>
    <w:rsid w:val="00407FD3"/>
    <w:rPr>
      <w:rFonts w:ascii="Times New Roman" w:eastAsia="宋体" w:hAnsi="Times New Roman" w:cs="Times New Roman"/>
      <w:b/>
      <w:color w:val="FF9900"/>
      <w:sz w:val="18"/>
      <w:szCs w:val="18"/>
    </w:rPr>
  </w:style>
  <w:style w:type="character" w:customStyle="1" w:styleId="Char1">
    <w:name w:val="页眉 Char"/>
    <w:basedOn w:val="a0"/>
    <w:link w:val="a5"/>
    <w:uiPriority w:val="99"/>
    <w:semiHidden/>
    <w:qFormat/>
    <w:rsid w:val="00407FD3"/>
    <w:rPr>
      <w:rFonts w:ascii="Times New Roman" w:eastAsia="宋体" w:hAnsi="Times New Roman" w:cs="Times New Roman"/>
      <w:b/>
      <w:color w:val="FF9900"/>
      <w:sz w:val="18"/>
      <w:szCs w:val="18"/>
    </w:rPr>
  </w:style>
  <w:style w:type="character" w:customStyle="1" w:styleId="Char">
    <w:name w:val="批注框文本 Char"/>
    <w:basedOn w:val="a0"/>
    <w:link w:val="a3"/>
    <w:uiPriority w:val="99"/>
    <w:semiHidden/>
    <w:qFormat/>
    <w:rsid w:val="00407FD3"/>
    <w:rPr>
      <w:rFonts w:ascii="Times New Roman" w:eastAsia="宋体" w:hAnsi="Times New Roman" w:cs="Times New Roman"/>
      <w:b/>
      <w:color w:val="FF9900"/>
      <w:kern w:val="2"/>
      <w:sz w:val="18"/>
      <w:szCs w:val="18"/>
    </w:rPr>
  </w:style>
  <w:style w:type="paragraph" w:customStyle="1" w:styleId="Bodytext2">
    <w:name w:val="Body text|2"/>
    <w:basedOn w:val="a"/>
    <w:unhideWhenUsed/>
    <w:qFormat/>
    <w:rsid w:val="00407FD3"/>
    <w:pPr>
      <w:shd w:val="clear" w:color="auto" w:fill="FFFFFF"/>
      <w:spacing w:before="600" w:line="598" w:lineRule="exact"/>
      <w:jc w:val="center"/>
    </w:pPr>
    <w:rPr>
      <w:rFonts w:ascii="PMingLiU" w:eastAsia="PMingLiU" w:hAnsi="PMingLiU"/>
      <w:b w:val="0"/>
      <w:color w:val="auto"/>
      <w:spacing w:val="30"/>
      <w:kern w:val="0"/>
      <w:sz w:val="28"/>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C0C8A8D-0E19-47B4-8097-9AAAAC34D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1254</Words>
  <Characters>7148</Characters>
  <Application>Microsoft Office Word</Application>
  <DocSecurity>0</DocSecurity>
  <Lines>59</Lines>
  <Paragraphs>16</Paragraphs>
  <ScaleCrop>false</ScaleCrop>
  <Company/>
  <LinksUpToDate>false</LinksUpToDate>
  <CharactersWithSpaces>8386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132</cp:revision>
  <dcterms:created xsi:type="dcterms:W3CDTF">2024-08-22T09:33:00Z</dcterms:created>
  <dcterms:modified xsi:type="dcterms:W3CDTF">2026-10-10T00:34:00Z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22758BF7D3FA4C6EAD2F8A4BC41D7618_12</vt:lpwstr>
  </property>
  <property fmtid="{D5CDD505-2E9C-101B-9397-08002B2CF9AE}" pid="4" name="KSOTemplateDocerSaveRecord">
    <vt:lpwstr>eyJoZGlkIjoiOWY0OTg5ZjA1NDYxY2QzZWI1YWI3N2Y4MGUzMzk3M2QiLCJ1c2VySWQiOiI4NzAzNzQ1NzIifQ==</vt:lpwstr>
  </property>
</Properties>
</file>