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方正小标宋简体" w:eastAsia="方正小标宋简体" w:cs="Times New Roman"/>
          <w:b/>
          <w:bCs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</w:rPr>
        <w:t>清流县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2-2023年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度</w:t>
      </w:r>
      <w:r>
        <w:rPr>
          <w:rFonts w:hint="eastAsia" w:ascii="方正小标宋简体" w:hAnsi="Times New Roman" w:eastAsia="方正小标宋简体" w:cs="Times New Roman"/>
          <w:b/>
          <w:bCs/>
        </w:rPr>
        <w:t>农村客运</w:t>
      </w:r>
      <w:r>
        <w:rPr>
          <w:rFonts w:hint="eastAsia" w:ascii="方正小标宋简体" w:eastAsia="方正小标宋简体" w:cs="Times New Roman"/>
          <w:b/>
          <w:bCs/>
          <w:lang w:eastAsia="zh-CN"/>
        </w:rPr>
        <w:t>和</w:t>
      </w: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城市</w:t>
      </w:r>
    </w:p>
    <w:p>
      <w:pPr>
        <w:pStyle w:val="2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bCs/>
          <w:lang w:eastAsia="zh-CN"/>
        </w:rPr>
      </w:pP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交通发展奖励涨价补贴资金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分配方案</w:t>
      </w:r>
    </w:p>
    <w:p>
      <w:pPr>
        <w:spacing w:line="520" w:lineRule="exact"/>
        <w:jc w:val="center"/>
        <w:rPr>
          <w:rFonts w:hint="eastAsia"/>
          <w:sz w:val="28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根据《福建省财政厅 福建省交通运输厅关于下达2022-2023 年度农村客运和城市交通发展奖励补贴资金的通知》（闽财建指〔2023〕159 号）、《三明市财政局 三明市交通运输局关于下达 2022-2023 年度农村客运和城市交通发展奖励涨价补贴资金的通知》（明财（建）指〔2024〕20 号）、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三明市交通运输局关于下发《三明市 2022-2023年度农村道路客运 城市交通发展奖励岛际和农村水路客运费改税补贴资金分配方案》等的通知（明交运〔2024〕10 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等文件要求，制定本方案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由于此项资金申报工作为跨年申报，因此省市下达我县 2022、2023 年度补助资金分别对应我县 2021、2022 年度申报项目资金，具体如下：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资金总额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2022-2023 年度农村道路客运和城市交通发展奖励涨价补贴资金共计 258.01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万元，具体如下：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      </w:t>
      </w:r>
    </w:p>
    <w:tbl>
      <w:tblPr>
        <w:tblStyle w:val="3"/>
        <w:tblW w:w="8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16"/>
        <w:gridCol w:w="1587"/>
        <w:gridCol w:w="1587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资金名称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资金额度（万元）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ZShuSong-Z01" w:hAnsi="FZShuSong-Z01" w:eastAsia="FZShuSong-Z01" w:cs="FZShuSong-Z01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2021 </w:t>
            </w:r>
            <w:r>
              <w:rPr>
                <w:rStyle w:val="5"/>
                <w:rFonts w:hAnsi="FZShuSong-Z01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ZShuSong-Z01" w:hAnsi="FZShuSong-Z01" w:eastAsia="FZShuSong-Z01" w:cs="FZShuSong-Z01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2022 </w:t>
            </w:r>
            <w:r>
              <w:rPr>
                <w:rStyle w:val="5"/>
                <w:rFonts w:hAnsi="FZShuSong-Z01"/>
                <w:lang w:val="en-US" w:eastAsia="zh-CN" w:bidi="ar"/>
              </w:rPr>
              <w:t>年</w:t>
            </w: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等级客运站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农村客运站点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城市新能源公交车运营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农村道路客运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258.01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  <w:t>具体分配情况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  <w:t>（一）等级客运站建设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2021年度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全县1个二级以上客运站（清流汽车站）营运，省市下达补助资金38.46 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按省市资金管理办法要求，给予清流汽车站等级客运站补助资金38.46 万元/站。 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2022年度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全县1个二级以上客运站（清流汽车站）营运，省市下达补助资金38.46 万元/站资金补助。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按省市资金管理办法要求，给予清流汽车站等级客运站补助资金38.46 万元。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  <w:t>农村客运站点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2021年度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无符合补助要求的农村客运站点。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2022年度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全县2个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农村客运站点（长校镇、灵地镇综合运输服务站）营运，省市下达补助资金5.72 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按省市资金管理办法要求，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给予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业主长校镇人民政府补助资金 2.86 万元、灵地镇人民政府补助资金 2.86 万元。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  <w:t>（三）城市新能源公交车营运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2021年度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全县1家公交车营运企业（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清流县闽通公共交通有限公司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）营运，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省市下达补助资金18.22 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按省市资金管理办法要求，给予清流县闽通公共交通有限公司补助资金18.22 万元。 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2022 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全县1家公交车营运企业（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清流县闽通公共交通有限公司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）营运，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省市下达补助资金16.95万元。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按省市资金管理办法要求，给予清流县闽通公共交通有限公司补助资金16.95 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（四）农村道路客运发展 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2021 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农村道路客运得300分（不含农村车辆座位数得分）、农村车辆座位数得45.9分，省市下达补助资金69.59万元。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分配情况。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按照某企业补贴资金=上级下达补贴资金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〔某企业核定座位数得分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全县核定总座位数得分〕的方式分配资金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，具体分配如下：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1.福建闽通长运股份有限公司清流分公司农村车辆座位数223，得22分、分配资金33.35万元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2.清流县长清汽车运输有限公司农村车辆座位数239，得23.9分、分配资金36.24万元。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2022 年度 </w:t>
      </w:r>
      <w:bookmarkStart w:id="0" w:name="_GoBack"/>
      <w:bookmarkEnd w:id="0"/>
    </w:p>
    <w:p>
      <w:pPr>
        <w:ind w:firstLine="62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补助资金情况。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农村道路客运得270分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（不含农村车辆座位数得分）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、农村车辆座位数得55分，省上下达补助资金70.61万元。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分配情况。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按照某企业补贴资金=上级下达补贴资金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〔某企业核定座位数得分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全县核定总座位数得分〕的方式分配资金。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具体分配如下：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福建闽通长运股份有限公司清流分公司农村车辆座位数228，得22.8分、分配资金29.27万元。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清流县长清汽车运输有限公司农村车辆座位数322，得32.2分、分配资金41.34万元。</w:t>
      </w:r>
    </w:p>
    <w:p>
      <w:pPr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清流县交通运输局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0D00"/>
    <w:multiLevelType w:val="singleLevel"/>
    <w:tmpl w:val="8D0D0D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A6A59"/>
    <w:multiLevelType w:val="singleLevel"/>
    <w:tmpl w:val="B6EA6A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WE3Y2VlMzIwNzMyMjQ2ZDdjNDEyZDBjZDc3OTUifQ=="/>
  </w:docVars>
  <w:rsids>
    <w:rsidRoot w:val="02E45FCD"/>
    <w:rsid w:val="02E45FCD"/>
    <w:rsid w:val="05D7202B"/>
    <w:rsid w:val="0E27515D"/>
    <w:rsid w:val="123FB0AC"/>
    <w:rsid w:val="164B3815"/>
    <w:rsid w:val="1B067027"/>
    <w:rsid w:val="1EFB9C23"/>
    <w:rsid w:val="1F350563"/>
    <w:rsid w:val="1FFADF74"/>
    <w:rsid w:val="27B6BBCA"/>
    <w:rsid w:val="2EA3DDF6"/>
    <w:rsid w:val="35D50169"/>
    <w:rsid w:val="35FF2E3E"/>
    <w:rsid w:val="361A45B2"/>
    <w:rsid w:val="3EFE9372"/>
    <w:rsid w:val="3FBDC9E6"/>
    <w:rsid w:val="3FEBE70F"/>
    <w:rsid w:val="44E11F13"/>
    <w:rsid w:val="47476185"/>
    <w:rsid w:val="4DC27B02"/>
    <w:rsid w:val="4ECB151D"/>
    <w:rsid w:val="523A78CD"/>
    <w:rsid w:val="55F816C5"/>
    <w:rsid w:val="58D82053"/>
    <w:rsid w:val="5AF6717E"/>
    <w:rsid w:val="5B7E8C4D"/>
    <w:rsid w:val="5DEA640E"/>
    <w:rsid w:val="5DED1ED3"/>
    <w:rsid w:val="5E377169"/>
    <w:rsid w:val="5F672407"/>
    <w:rsid w:val="5FE69278"/>
    <w:rsid w:val="5FFF4A51"/>
    <w:rsid w:val="614909B6"/>
    <w:rsid w:val="66FD041D"/>
    <w:rsid w:val="67FDFE14"/>
    <w:rsid w:val="685C02B2"/>
    <w:rsid w:val="6AF6D94B"/>
    <w:rsid w:val="721B3607"/>
    <w:rsid w:val="75779659"/>
    <w:rsid w:val="77B67B0C"/>
    <w:rsid w:val="77FEF96D"/>
    <w:rsid w:val="79F37F26"/>
    <w:rsid w:val="7A7B2887"/>
    <w:rsid w:val="7F3F2E70"/>
    <w:rsid w:val="7F59BFF2"/>
    <w:rsid w:val="7FABDD37"/>
    <w:rsid w:val="B3E57550"/>
    <w:rsid w:val="B7AF62DC"/>
    <w:rsid w:val="BDDFED7E"/>
    <w:rsid w:val="BDFF2DC7"/>
    <w:rsid w:val="BEF6C87B"/>
    <w:rsid w:val="BFDB4316"/>
    <w:rsid w:val="BFDFF3D3"/>
    <w:rsid w:val="C4BBDA22"/>
    <w:rsid w:val="D7F91E5B"/>
    <w:rsid w:val="DE213CAF"/>
    <w:rsid w:val="DF832F80"/>
    <w:rsid w:val="EBEFF306"/>
    <w:rsid w:val="F77F57CB"/>
    <w:rsid w:val="F7EFE8F0"/>
    <w:rsid w:val="F87FABB6"/>
    <w:rsid w:val="FAF645A0"/>
    <w:rsid w:val="FB63C8FE"/>
    <w:rsid w:val="FBDFDFD5"/>
    <w:rsid w:val="FBF82A74"/>
    <w:rsid w:val="FF77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  <w:jc w:val="center"/>
    </w:pPr>
    <w:rPr>
      <w:b/>
      <w:bCs/>
      <w:sz w:val="4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6">
    <w:name w:val="font21"/>
    <w:basedOn w:val="4"/>
    <w:qFormat/>
    <w:uiPriority w:val="0"/>
    <w:rPr>
      <w:rFonts w:hint="default" w:ascii="FZShuSong-Z01" w:hAnsi="FZShuSong-Z01" w:eastAsia="FZShuSong-Z01" w:cs="FZShuSong-Z01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2024-04-07T18:56:00Z</dcterms:created>
  <dc:creator>DELL69</dc:creator>
  <cp:lastModifiedBy>huawei</cp:lastModifiedBy>
  <dcterms:modified xsi:type="dcterms:W3CDTF">2024-04-28T16:44:06Z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8CD19F71AE4A41E3880A76960C2EE1A2_11</vt:lpwstr>
  </property>
</Properties>
</file>