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ascii="Times New Roman" w:hAnsi="Times New Roman" w:eastAsia="黑体" w:cs="Times New Roman"/>
          <w:b/>
          <w:bCs/>
          <w:kern w:val="0"/>
          <w:sz w:val="44"/>
          <w:szCs w:val="44"/>
          <w:lang w:bidi="ar"/>
        </w:rPr>
      </w:pPr>
      <w:r>
        <w:rPr>
          <w:rFonts w:hint="eastAsia" w:ascii="Times New Roman" w:hAnsi="Times New Roman" w:eastAsia="黑体" w:cs="Times New Roman"/>
          <w:b/>
          <w:bCs/>
          <w:color w:val="000000"/>
          <w:kern w:val="0"/>
          <w:sz w:val="44"/>
          <w:szCs w:val="44"/>
          <w:lang w:bidi="ar"/>
        </w:rPr>
        <w:t>清流县</w:t>
      </w:r>
      <w:r>
        <w:rPr>
          <w:rFonts w:hint="eastAsia" w:ascii="Times New Roman" w:hAnsi="Times New Roman" w:eastAsia="黑体" w:cs="Times New Roman"/>
          <w:b/>
          <w:bCs/>
          <w:color w:val="000000"/>
          <w:kern w:val="0"/>
          <w:sz w:val="44"/>
          <w:szCs w:val="44"/>
          <w:lang w:val="en-US" w:eastAsia="zh-CN" w:bidi="ar"/>
        </w:rPr>
        <w:t>半畲</w:t>
      </w:r>
      <w:r>
        <w:rPr>
          <w:rFonts w:hint="eastAsia" w:ascii="Times New Roman" w:hAnsi="Times New Roman" w:eastAsia="黑体" w:cs="Times New Roman"/>
          <w:b/>
          <w:bCs/>
          <w:color w:val="000000"/>
          <w:kern w:val="0"/>
          <w:sz w:val="44"/>
          <w:szCs w:val="44"/>
          <w:lang w:eastAsia="zh-CN" w:bidi="ar"/>
        </w:rPr>
        <w:t>地块</w:t>
      </w:r>
      <w:r>
        <w:rPr>
          <w:rFonts w:ascii="Times New Roman" w:hAnsi="Times New Roman" w:eastAsia="黑体" w:cs="Times New Roman"/>
          <w:b/>
          <w:bCs/>
          <w:kern w:val="0"/>
          <w:sz w:val="44"/>
          <w:szCs w:val="44"/>
          <w:lang w:bidi="ar"/>
        </w:rPr>
        <w:t>土地征收</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ascii="Times New Roman" w:hAnsi="Times New Roman" w:eastAsia="黑体" w:cs="Times New Roman"/>
          <w:b/>
          <w:bCs/>
          <w:kern w:val="0"/>
          <w:sz w:val="44"/>
          <w:szCs w:val="44"/>
          <w:lang w:bidi="ar"/>
        </w:rPr>
      </w:pPr>
      <w:r>
        <w:rPr>
          <w:rFonts w:ascii="Times New Roman" w:hAnsi="Times New Roman" w:eastAsia="黑体" w:cs="Times New Roman"/>
          <w:b/>
          <w:bCs/>
          <w:kern w:val="0"/>
          <w:sz w:val="44"/>
          <w:szCs w:val="44"/>
          <w:lang w:bidi="ar"/>
        </w:rPr>
        <w:t>成片开发方案</w:t>
      </w:r>
    </w:p>
    <w:p>
      <w:pPr>
        <w:pStyle w:val="2"/>
        <w:keepNext w:val="0"/>
        <w:keepLines w:val="0"/>
        <w:pageBreakBefore w:val="0"/>
        <w:kinsoku/>
        <w:wordWrap/>
        <w:overflowPunct/>
        <w:topLinePunct w:val="0"/>
        <w:autoSpaceDE/>
        <w:autoSpaceDN/>
        <w:bidi w:val="0"/>
        <w:adjustRightInd/>
        <w:snapToGrid/>
        <w:spacing w:line="700" w:lineRule="exact"/>
        <w:ind w:firstLine="2650" w:firstLineChars="600"/>
        <w:jc w:val="both"/>
        <w:textAlignment w:val="auto"/>
        <w:rPr>
          <w:rFonts w:hint="eastAsia" w:eastAsia="黑体"/>
          <w:lang w:eastAsia="zh-CN"/>
        </w:rPr>
      </w:pPr>
      <w:r>
        <w:rPr>
          <w:rFonts w:hint="eastAsia" w:ascii="Times New Roman" w:hAnsi="Times New Roman" w:eastAsia="黑体" w:cs="Times New Roman"/>
          <w:b/>
          <w:bCs/>
          <w:kern w:val="0"/>
          <w:sz w:val="44"/>
          <w:szCs w:val="44"/>
          <w:lang w:eastAsia="zh-CN" w:bidi="ar"/>
        </w:rPr>
        <w:t>（征求意见稿）</w:t>
      </w:r>
    </w:p>
    <w:p>
      <w:pPr>
        <w:pStyle w:val="4"/>
        <w:spacing w:before="120" w:after="120" w:line="360" w:lineRule="auto"/>
        <w:rPr>
          <w:rFonts w:hint="eastAsia" w:ascii="宋体" w:hAnsi="宋体" w:eastAsia="宋体" w:cs="宋体"/>
          <w:sz w:val="32"/>
          <w:szCs w:val="32"/>
          <w:lang w:eastAsia="zh-CN"/>
        </w:rPr>
      </w:pPr>
      <w:bookmarkStart w:id="0" w:name="_Toc29603"/>
      <w:r>
        <w:rPr>
          <w:rFonts w:hint="eastAsia" w:ascii="宋体" w:hAnsi="宋体" w:eastAsia="宋体" w:cs="宋体"/>
          <w:sz w:val="32"/>
          <w:szCs w:val="32"/>
        </w:rPr>
        <w:t>一、</w:t>
      </w:r>
      <w:bookmarkEnd w:id="0"/>
      <w:r>
        <w:rPr>
          <w:rFonts w:hint="eastAsia" w:ascii="宋体" w:hAnsi="宋体" w:eastAsia="宋体" w:cs="宋体"/>
          <w:sz w:val="32"/>
          <w:szCs w:val="32"/>
          <w:lang w:eastAsia="zh-CN"/>
        </w:rPr>
        <w:t>编制依据</w:t>
      </w:r>
    </w:p>
    <w:p>
      <w:pPr>
        <w:spacing w:line="360" w:lineRule="auto"/>
        <w:ind w:firstLine="560"/>
        <w:rPr>
          <w:rFonts w:hint="eastAsia" w:ascii="宋体" w:hAnsi="宋体" w:eastAsia="宋体" w:cs="宋体"/>
          <w:sz w:val="28"/>
          <w:szCs w:val="28"/>
          <w:lang w:eastAsia="zh-CN"/>
        </w:rPr>
      </w:pPr>
      <w:r>
        <w:rPr>
          <w:rFonts w:hint="eastAsia" w:ascii="宋体" w:hAnsi="宋体" w:eastAsia="宋体" w:cs="宋体"/>
          <w:sz w:val="28"/>
          <w:szCs w:val="28"/>
          <w:lang w:eastAsia="zh-CN"/>
        </w:rPr>
        <w:t>依据</w:t>
      </w:r>
      <w:r>
        <w:rPr>
          <w:rFonts w:hint="eastAsia" w:ascii="宋体" w:hAnsi="宋体" w:eastAsia="宋体" w:cs="宋体"/>
          <w:sz w:val="28"/>
          <w:szCs w:val="28"/>
        </w:rPr>
        <w:t>《中华人民共和国土地管理法》《自然资源部关于印发〈土地征收成片开发标准（试行）〉的通知》《福建省土地征收成片开发方案报批实施细则（试行）》</w:t>
      </w:r>
      <w:r>
        <w:rPr>
          <w:rFonts w:hint="eastAsia" w:ascii="宋体" w:hAnsi="宋体" w:eastAsia="宋体" w:cs="宋体"/>
          <w:sz w:val="28"/>
          <w:szCs w:val="28"/>
          <w:lang w:eastAsia="zh-CN"/>
        </w:rPr>
        <w:t>《</w:t>
      </w:r>
      <w:r>
        <w:rPr>
          <w:rFonts w:hint="eastAsia" w:ascii="宋体" w:hAnsi="宋体" w:eastAsia="宋体" w:cs="宋体"/>
          <w:sz w:val="28"/>
          <w:szCs w:val="28"/>
        </w:rPr>
        <w:t>福建省土地征收成片开发方案编制参考指南（试行）〉的通知》</w:t>
      </w:r>
      <w:r>
        <w:rPr>
          <w:rFonts w:hint="eastAsia" w:ascii="宋体" w:hAnsi="宋体" w:eastAsia="宋体" w:cs="宋体"/>
          <w:sz w:val="28"/>
          <w:szCs w:val="28"/>
          <w:lang w:eastAsia="zh-CN"/>
        </w:rPr>
        <w:t>及</w:t>
      </w:r>
      <w:r>
        <w:rPr>
          <w:rFonts w:hint="eastAsia" w:ascii="宋体" w:hAnsi="宋体" w:eastAsia="宋体" w:cs="宋体"/>
          <w:sz w:val="28"/>
          <w:szCs w:val="28"/>
        </w:rPr>
        <w:t>《清流县</w:t>
      </w:r>
      <w:r>
        <w:rPr>
          <w:rFonts w:hint="eastAsia" w:ascii="宋体" w:hAnsi="宋体" w:eastAsia="宋体" w:cs="宋体"/>
          <w:sz w:val="28"/>
          <w:szCs w:val="28"/>
          <w:lang w:eastAsia="zh-CN"/>
        </w:rPr>
        <w:t>县域</w:t>
      </w:r>
      <w:r>
        <w:rPr>
          <w:rFonts w:hint="eastAsia" w:ascii="宋体" w:hAnsi="宋体" w:eastAsia="宋体" w:cs="宋体"/>
          <w:sz w:val="28"/>
          <w:szCs w:val="28"/>
        </w:rPr>
        <w:t>总体规划（20</w:t>
      </w:r>
      <w:r>
        <w:rPr>
          <w:rFonts w:hint="eastAsia" w:ascii="宋体" w:hAnsi="宋体" w:eastAsia="宋体" w:cs="宋体"/>
          <w:sz w:val="28"/>
          <w:szCs w:val="28"/>
          <w:lang w:val="en-US" w:eastAsia="zh-CN"/>
        </w:rPr>
        <w:t>12-2030</w:t>
      </w:r>
      <w:r>
        <w:rPr>
          <w:rFonts w:hint="eastAsia" w:ascii="宋体" w:hAnsi="宋体" w:eastAsia="宋体" w:cs="宋体"/>
          <w:sz w:val="28"/>
          <w:szCs w:val="28"/>
        </w:rPr>
        <w:t>）》</w:t>
      </w:r>
      <w:r>
        <w:rPr>
          <w:rFonts w:hint="eastAsia" w:ascii="宋体" w:hAnsi="宋体" w:eastAsia="宋体" w:cs="宋体"/>
          <w:sz w:val="28"/>
          <w:szCs w:val="28"/>
          <w:lang w:eastAsia="zh-CN"/>
        </w:rPr>
        <w:t>等相关文件，编制《清流县半畲地块土地征收成片开发方案》。</w:t>
      </w:r>
    </w:p>
    <w:p>
      <w:pPr>
        <w:pStyle w:val="4"/>
        <w:spacing w:before="120" w:after="120" w:line="360" w:lineRule="auto"/>
        <w:rPr>
          <w:rFonts w:ascii="宋体" w:hAnsi="宋体" w:eastAsia="宋体" w:cs="宋体"/>
          <w:sz w:val="32"/>
          <w:szCs w:val="32"/>
        </w:rPr>
      </w:pPr>
      <w:bookmarkStart w:id="1" w:name="_Toc24734"/>
      <w:r>
        <w:rPr>
          <w:rFonts w:hint="eastAsia" w:ascii="宋体" w:hAnsi="宋体" w:eastAsia="宋体" w:cs="宋体"/>
          <w:sz w:val="32"/>
          <w:szCs w:val="32"/>
          <w:lang w:eastAsia="zh-CN"/>
        </w:rPr>
        <w:t>二</w:t>
      </w:r>
      <w:r>
        <w:rPr>
          <w:rFonts w:hint="eastAsia" w:ascii="宋体" w:hAnsi="宋体" w:eastAsia="宋体" w:cs="宋体"/>
          <w:sz w:val="32"/>
          <w:szCs w:val="32"/>
        </w:rPr>
        <w:t>、基本情况</w:t>
      </w:r>
      <w:bookmarkEnd w:id="1"/>
    </w:p>
    <w:p>
      <w:pPr>
        <w:spacing w:line="360" w:lineRule="auto"/>
        <w:ind w:firstLine="560" w:firstLineChars="200"/>
        <w:rPr>
          <w:rFonts w:ascii="宋体" w:hAnsi="宋体" w:eastAsia="宋体" w:cs="宋体"/>
          <w:color w:val="FF0000"/>
          <w:sz w:val="28"/>
          <w:szCs w:val="28"/>
        </w:rPr>
      </w:pPr>
      <w:r>
        <w:rPr>
          <w:rFonts w:hint="eastAsia" w:ascii="宋体" w:hAnsi="宋体" w:eastAsia="宋体" w:cs="宋体"/>
          <w:sz w:val="28"/>
          <w:szCs w:val="28"/>
          <w:lang w:eastAsia="zh-CN"/>
        </w:rPr>
        <w:t>本方案</w:t>
      </w:r>
      <w:r>
        <w:rPr>
          <w:rFonts w:hint="eastAsia" w:ascii="宋体" w:hAnsi="宋体" w:eastAsia="宋体" w:cs="宋体"/>
          <w:sz w:val="28"/>
          <w:szCs w:val="28"/>
        </w:rPr>
        <w:t>四至范围</w:t>
      </w:r>
      <w:r>
        <w:rPr>
          <w:rFonts w:hint="eastAsia" w:ascii="宋体" w:hAnsi="宋体" w:eastAsia="宋体" w:cs="宋体"/>
          <w:sz w:val="28"/>
          <w:szCs w:val="28"/>
          <w:lang w:eastAsia="zh-CN"/>
        </w:rPr>
        <w:t>：</w:t>
      </w:r>
      <w:r>
        <w:rPr>
          <w:rFonts w:hint="eastAsia" w:ascii="宋体" w:hAnsi="宋体" w:eastAsia="宋体" w:cs="宋体"/>
          <w:color w:val="auto"/>
          <w:sz w:val="28"/>
          <w:szCs w:val="28"/>
          <w:lang w:val="en-US" w:eastAsia="zh-CN"/>
        </w:rPr>
        <w:t>东至791县道，西至荒地，南至林地，北至氟新材料产业福宝片区</w:t>
      </w:r>
      <w:r>
        <w:rPr>
          <w:rFonts w:hint="eastAsia" w:ascii="宋体" w:hAnsi="宋体" w:eastAsia="宋体" w:cs="宋体"/>
          <w:sz w:val="28"/>
          <w:szCs w:val="28"/>
        </w:rPr>
        <w:t>。涉及清流县</w:t>
      </w:r>
      <w:r>
        <w:rPr>
          <w:rFonts w:hint="eastAsia" w:ascii="宋体" w:hAnsi="宋体" w:eastAsia="宋体" w:cs="宋体"/>
          <w:sz w:val="28"/>
          <w:szCs w:val="28"/>
          <w:lang w:val="en-US" w:eastAsia="zh-CN"/>
        </w:rPr>
        <w:t>温郊乡桐坑村</w:t>
      </w:r>
      <w:r>
        <w:rPr>
          <w:rFonts w:hint="eastAsia" w:ascii="宋体" w:hAnsi="宋体" w:eastAsia="宋体" w:cs="宋体"/>
          <w:sz w:val="28"/>
          <w:szCs w:val="28"/>
        </w:rPr>
        <w:t>，共1个</w:t>
      </w:r>
      <w:r>
        <w:rPr>
          <w:rFonts w:hint="eastAsia" w:ascii="宋体" w:hAnsi="宋体" w:eastAsia="宋体" w:cs="宋体"/>
          <w:sz w:val="28"/>
          <w:szCs w:val="28"/>
          <w:lang w:val="en-US" w:eastAsia="zh-CN"/>
        </w:rPr>
        <w:t>乡1</w:t>
      </w:r>
      <w:r>
        <w:rPr>
          <w:rFonts w:hint="eastAsia" w:ascii="宋体" w:hAnsi="宋体" w:eastAsia="宋体" w:cs="宋体"/>
          <w:sz w:val="28"/>
          <w:szCs w:val="28"/>
        </w:rPr>
        <w:t>个村；</w:t>
      </w:r>
      <w:r>
        <w:rPr>
          <w:rFonts w:hint="eastAsia" w:ascii="宋体" w:hAnsi="宋体" w:eastAsia="宋体" w:cs="宋体"/>
          <w:sz w:val="28"/>
          <w:szCs w:val="28"/>
          <w:lang w:val="en-US" w:eastAsia="zh-CN"/>
        </w:rPr>
        <w:t>不</w:t>
      </w:r>
      <w:r>
        <w:rPr>
          <w:rFonts w:hint="eastAsia" w:ascii="宋体" w:hAnsi="宋体" w:eastAsia="宋体" w:cs="宋体"/>
          <w:sz w:val="28"/>
          <w:szCs w:val="28"/>
        </w:rPr>
        <w:t>涉及清流县</w:t>
      </w:r>
      <w:r>
        <w:rPr>
          <w:rFonts w:hint="eastAsia" w:ascii="宋体" w:hAnsi="宋体" w:eastAsia="宋体" w:cs="宋体"/>
          <w:sz w:val="28"/>
          <w:szCs w:val="28"/>
          <w:lang w:eastAsia="zh-CN"/>
        </w:rPr>
        <w:t>国有土地</w:t>
      </w:r>
      <w:r>
        <w:rPr>
          <w:rFonts w:hint="eastAsia" w:ascii="宋体" w:hAnsi="宋体" w:eastAsia="宋体" w:cs="宋体"/>
          <w:sz w:val="28"/>
          <w:szCs w:val="28"/>
        </w:rPr>
        <w:t>国有单位</w:t>
      </w:r>
      <w:r>
        <w:rPr>
          <w:rFonts w:hint="eastAsia" w:ascii="宋体" w:hAnsi="宋体" w:eastAsia="宋体" w:cs="宋体"/>
          <w:sz w:val="28"/>
          <w:szCs w:val="28"/>
          <w:lang w:eastAsia="zh-CN"/>
        </w:rPr>
        <w:t>。</w:t>
      </w:r>
      <w:r>
        <w:rPr>
          <w:rFonts w:hint="eastAsia" w:ascii="宋体" w:hAnsi="宋体" w:eastAsia="宋体" w:cs="宋体"/>
          <w:sz w:val="28"/>
          <w:szCs w:val="28"/>
        </w:rPr>
        <w:t>根据实地勘测调查，本方案成片开发范围总面积</w:t>
      </w:r>
      <w:r>
        <w:rPr>
          <w:rFonts w:hint="eastAsia" w:ascii="宋体" w:hAnsi="宋体" w:cs="宋体"/>
          <w:color w:val="auto"/>
          <w:sz w:val="28"/>
          <w:szCs w:val="28"/>
          <w:highlight w:val="none"/>
          <w:lang w:val="en-US" w:eastAsia="zh-CN"/>
        </w:rPr>
        <w:t>5.3260</w:t>
      </w:r>
      <w:r>
        <w:rPr>
          <w:rFonts w:hint="eastAsia" w:ascii="宋体" w:hAnsi="宋体" w:eastAsia="宋体" w:cs="宋体"/>
          <w:sz w:val="28"/>
          <w:szCs w:val="28"/>
        </w:rPr>
        <w:t>公顷，其</w:t>
      </w:r>
      <w:r>
        <w:rPr>
          <w:rFonts w:hint="eastAsia" w:ascii="宋体" w:hAnsi="宋体" w:eastAsia="宋体" w:cs="宋体"/>
          <w:color w:val="000000" w:themeColor="text1"/>
          <w:sz w:val="28"/>
          <w:szCs w:val="28"/>
          <w14:textFill>
            <w14:solidFill>
              <w14:schemeClr w14:val="tx1"/>
            </w14:solidFill>
          </w14:textFill>
        </w:rPr>
        <w:t>中农用5.3260</w:t>
      </w:r>
      <w:r>
        <w:rPr>
          <w:rFonts w:hint="eastAsia" w:ascii="宋体" w:hAnsi="宋体" w:eastAsia="宋体" w:cs="宋体"/>
          <w:sz w:val="28"/>
          <w:szCs w:val="28"/>
        </w:rPr>
        <w:t>公顷，建设用地</w:t>
      </w:r>
      <w:r>
        <w:rPr>
          <w:rFonts w:hint="eastAsia" w:ascii="宋体" w:hAnsi="宋体" w:eastAsia="宋体" w:cs="宋体"/>
          <w:sz w:val="28"/>
          <w:szCs w:val="28"/>
          <w:lang w:val="en-US" w:eastAsia="zh-CN"/>
        </w:rPr>
        <w:t>0</w:t>
      </w:r>
      <w:r>
        <w:rPr>
          <w:rFonts w:hint="eastAsia" w:ascii="宋体" w:hAnsi="宋体" w:eastAsia="宋体" w:cs="宋体"/>
          <w:sz w:val="28"/>
          <w:szCs w:val="28"/>
        </w:rPr>
        <w:t>公顷，未利用地</w:t>
      </w:r>
      <w:r>
        <w:rPr>
          <w:rFonts w:hint="eastAsia" w:ascii="宋体" w:hAnsi="宋体" w:eastAsia="宋体" w:cs="宋体"/>
          <w:sz w:val="28"/>
          <w:szCs w:val="28"/>
          <w:lang w:val="en-US" w:eastAsia="zh-CN"/>
        </w:rPr>
        <w:t>0公顷</w:t>
      </w:r>
      <w:r>
        <w:rPr>
          <w:rFonts w:hint="eastAsia" w:ascii="宋体" w:hAnsi="宋体" w:eastAsia="宋体" w:cs="宋体"/>
          <w:sz w:val="28"/>
          <w:szCs w:val="28"/>
        </w:rPr>
        <w:t>。</w:t>
      </w:r>
    </w:p>
    <w:p>
      <w:pPr>
        <w:spacing w:line="360" w:lineRule="auto"/>
        <w:rPr>
          <w:rFonts w:ascii="宋体" w:hAnsi="宋体" w:eastAsia="宋体" w:cs="宋体"/>
          <w:b/>
          <w:sz w:val="30"/>
          <w:szCs w:val="30"/>
        </w:rPr>
      </w:pPr>
      <w:bookmarkStart w:id="2" w:name="_Toc6225"/>
      <w:r>
        <w:rPr>
          <w:rFonts w:hint="eastAsia" w:ascii="宋体" w:hAnsi="宋体" w:eastAsia="宋体" w:cs="宋体"/>
          <w:b/>
          <w:sz w:val="32"/>
          <w:szCs w:val="32"/>
          <w:lang w:eastAsia="zh-CN"/>
        </w:rPr>
        <w:t>三</w:t>
      </w:r>
      <w:r>
        <w:rPr>
          <w:rFonts w:hint="eastAsia" w:ascii="宋体" w:hAnsi="宋体" w:eastAsia="宋体" w:cs="宋体"/>
          <w:b/>
          <w:sz w:val="32"/>
          <w:szCs w:val="32"/>
        </w:rPr>
        <w:t>、必要性分析</w:t>
      </w:r>
      <w:bookmarkEnd w:id="2"/>
    </w:p>
    <w:p>
      <w:pPr>
        <w:spacing w:line="360" w:lineRule="auto"/>
        <w:ind w:firstLine="56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1、培育孵化新兴氟化工产业集群的需要</w:t>
      </w:r>
    </w:p>
    <w:p>
      <w:pPr>
        <w:spacing w:line="360" w:lineRule="auto"/>
        <w:ind w:firstLine="560"/>
        <w:rPr>
          <w:rFonts w:hint="eastAsia" w:ascii="宋体" w:hAnsi="宋体" w:eastAsia="宋体" w:cs="宋体"/>
          <w:sz w:val="28"/>
          <w:szCs w:val="28"/>
          <w:lang w:val="en-US" w:eastAsia="zh-CN"/>
        </w:rPr>
      </w:pPr>
      <w:r>
        <w:rPr>
          <w:rFonts w:hint="eastAsia" w:ascii="宋体" w:hAnsi="宋体" w:eastAsia="宋体" w:cs="宋体"/>
          <w:kern w:val="2"/>
          <w:sz w:val="28"/>
          <w:szCs w:val="28"/>
          <w:highlight w:val="none"/>
          <w:lang w:val="en-US" w:eastAsia="zh-CN" w:bidi="ar-SA"/>
        </w:rPr>
        <w:t>本方案依托东莹化工、永福化工、高宝矿业龙头优势，以清流经济开发区福宝园为平台，突破萤石资源整合，力争形成氟化工相对完整产业链，促进清流县萤石精粉浮选行业发展，为周边氟新材料产业园片区源源不断地输入优质精选原料矿石，打造温郊乡中下游密切衔接、配套完善、具有核心竞争力的产业集群，建设三明市北部新材料新产业带，形成战略性新兴产业平台，实现产业基础高级化，提高产业链现代化水平。</w:t>
      </w:r>
    </w:p>
    <w:p>
      <w:pPr>
        <w:numPr>
          <w:ilvl w:val="0"/>
          <w:numId w:val="1"/>
        </w:numPr>
        <w:spacing w:line="360" w:lineRule="auto"/>
        <w:ind w:left="0" w:leftChars="0" w:firstLine="560" w:firstLine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打造畅通消费循环，推动区域经济发展的需要</w:t>
      </w:r>
    </w:p>
    <w:p>
      <w:pPr>
        <w:pStyle w:val="2"/>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温郊乡及周边市区萤石精粉使用量较大，目前远不能满足市场需要，本方案在选址上全面梳理相关工业产品供需情况，组织有互补性的生产企业和材料与设备生产企业相呼应，推动萤石矿产资源就地转化，尾矿废渣、氟石膏副产品与高端优质新型绿色建筑产品形成产销对接，生成新材料制造内循环。</w:t>
      </w:r>
    </w:p>
    <w:p>
      <w:pPr>
        <w:pStyle w:val="2"/>
        <w:keepNext w:val="0"/>
        <w:keepLines w:val="0"/>
        <w:pageBreakBefore w:val="0"/>
        <w:widowControl w:val="0"/>
        <w:numPr>
          <w:ilvl w:val="0"/>
          <w:numId w:val="1"/>
        </w:numPr>
        <w:shd w:val="clear"/>
        <w:kinsoku/>
        <w:wordWrap/>
        <w:overflowPunct/>
        <w:topLinePunct w:val="0"/>
        <w:autoSpaceDE/>
        <w:autoSpaceDN/>
        <w:bidi w:val="0"/>
        <w:adjustRightInd/>
        <w:snapToGrid/>
        <w:ind w:left="0" w:leftChars="0" w:firstLine="560" w:firstLineChars="0"/>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持续推进采矿产业转型升级的需要</w:t>
      </w:r>
    </w:p>
    <w:p>
      <w:pPr>
        <w:spacing w:line="360" w:lineRule="auto"/>
        <w:ind w:firstLine="56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方案加大研发投入，积极加强和科研院所合作，与其他研究机构技术对接联合攻关，改进选矿工艺与设备，持续促进“机器换工”与“两化融合”，实现从低端向高端创造突破，使开采过程中能耗降低，采矿效率大幅度增加，矿石品质精选优选，实现采矿技术技术智能化改造，加快企业管理模式和营销网络现代化，以科技创新推动高质量发展，助力创新成果产业化，发展动能加快转换。</w:t>
      </w:r>
    </w:p>
    <w:p>
      <w:pPr>
        <w:pStyle w:val="4"/>
        <w:spacing w:before="0" w:after="120" w:line="360" w:lineRule="auto"/>
        <w:rPr>
          <w:rFonts w:ascii="宋体" w:hAnsi="宋体" w:eastAsia="宋体" w:cs="宋体"/>
          <w:sz w:val="32"/>
          <w:szCs w:val="32"/>
        </w:rPr>
      </w:pPr>
      <w:bookmarkStart w:id="3" w:name="_Toc24248"/>
      <w:bookmarkStart w:id="4" w:name="_Toc32278"/>
      <w:r>
        <w:rPr>
          <w:rFonts w:hint="eastAsia" w:ascii="宋体" w:hAnsi="宋体" w:eastAsia="宋体" w:cs="宋体"/>
          <w:sz w:val="32"/>
          <w:szCs w:val="32"/>
          <w:lang w:eastAsia="zh-CN"/>
        </w:rPr>
        <w:t>四</w:t>
      </w:r>
      <w:r>
        <w:rPr>
          <w:rFonts w:hint="eastAsia" w:ascii="宋体" w:hAnsi="宋体" w:eastAsia="宋体" w:cs="宋体"/>
          <w:sz w:val="32"/>
          <w:szCs w:val="32"/>
        </w:rPr>
        <w:t>、主要用途、实现功能及公益性用地比例</w:t>
      </w:r>
      <w:bookmarkEnd w:id="3"/>
      <w:bookmarkEnd w:id="4"/>
    </w:p>
    <w:p>
      <w:pPr>
        <w:spacing w:line="360" w:lineRule="auto"/>
        <w:ind w:firstLine="560"/>
        <w:rPr>
          <w:rFonts w:hint="eastAsia" w:ascii="宋体" w:hAnsi="宋体" w:eastAsia="宋体" w:cs="宋体"/>
          <w:color w:val="auto"/>
          <w:sz w:val="28"/>
          <w:szCs w:val="28"/>
          <w:lang w:val="en-US" w:eastAsia="zh-CN"/>
        </w:rPr>
      </w:pPr>
      <w:r>
        <w:rPr>
          <w:rFonts w:hint="eastAsia" w:ascii="宋体" w:hAnsi="宋体" w:eastAsia="宋体" w:cs="宋体"/>
          <w:b w:val="0"/>
          <w:bCs w:val="0"/>
          <w:color w:val="auto"/>
          <w:sz w:val="28"/>
          <w:szCs w:val="28"/>
          <w:lang w:eastAsia="zh-CN"/>
        </w:rPr>
        <w:t>本方案</w:t>
      </w:r>
      <w:r>
        <w:rPr>
          <w:rFonts w:hint="eastAsia" w:ascii="宋体" w:hAnsi="宋体" w:eastAsia="宋体" w:cs="宋体"/>
          <w:b w:val="0"/>
          <w:bCs w:val="0"/>
          <w:color w:val="auto"/>
          <w:sz w:val="28"/>
          <w:szCs w:val="28"/>
        </w:rPr>
        <w:t>总面积</w:t>
      </w:r>
      <w:r>
        <w:rPr>
          <w:rFonts w:hint="eastAsia" w:ascii="宋体" w:hAnsi="宋体" w:eastAsia="宋体" w:cs="宋体"/>
          <w:color w:val="auto"/>
          <w:sz w:val="28"/>
          <w:szCs w:val="28"/>
          <w:highlight w:val="none"/>
          <w:lang w:eastAsia="zh-CN"/>
        </w:rPr>
        <w:t>5.</w:t>
      </w:r>
      <w:r>
        <w:rPr>
          <w:rFonts w:hint="eastAsia" w:ascii="宋体" w:hAnsi="宋体" w:eastAsia="宋体" w:cs="宋体"/>
          <w:color w:val="auto"/>
          <w:sz w:val="28"/>
          <w:szCs w:val="28"/>
          <w:highlight w:val="none"/>
          <w:lang w:val="en-US" w:eastAsia="zh-CN"/>
        </w:rPr>
        <w:t>3260</w:t>
      </w:r>
      <w:r>
        <w:rPr>
          <w:rFonts w:hint="eastAsia" w:ascii="宋体" w:hAnsi="宋体" w:eastAsia="宋体" w:cs="宋体"/>
          <w:b w:val="0"/>
          <w:bCs w:val="0"/>
          <w:color w:val="auto"/>
          <w:sz w:val="28"/>
          <w:szCs w:val="28"/>
        </w:rPr>
        <w:t>公顷，</w:t>
      </w:r>
      <w:r>
        <w:rPr>
          <w:rFonts w:hint="eastAsia" w:ascii="宋体" w:hAnsi="宋体" w:eastAsia="宋体" w:cs="宋体"/>
          <w:color w:val="auto"/>
          <w:sz w:val="28"/>
          <w:szCs w:val="28"/>
          <w:lang w:val="en-US" w:eastAsia="zh-CN"/>
        </w:rPr>
        <w:t>其中：工业用地面积</w:t>
      </w:r>
      <w:r>
        <w:rPr>
          <w:rFonts w:hint="eastAsia" w:ascii="宋体" w:hAnsi="宋体" w:cs="宋体"/>
          <w:color w:val="auto"/>
          <w:sz w:val="28"/>
          <w:szCs w:val="28"/>
          <w:highlight w:val="none"/>
          <w:lang w:val="en-US" w:eastAsia="zh-CN"/>
        </w:rPr>
        <w:t>3.1353</w:t>
      </w:r>
      <w:r>
        <w:rPr>
          <w:rFonts w:hint="eastAsia" w:ascii="宋体" w:hAnsi="宋体" w:eastAsia="宋体" w:cs="宋体"/>
          <w:color w:val="auto"/>
          <w:sz w:val="28"/>
          <w:szCs w:val="28"/>
          <w:lang w:val="en-US" w:eastAsia="zh-CN"/>
        </w:rPr>
        <w:t>公顷；防护绿地面积</w:t>
      </w:r>
      <w:r>
        <w:rPr>
          <w:rFonts w:hint="eastAsia" w:ascii="宋体" w:hAnsi="宋体" w:cs="宋体"/>
          <w:color w:val="auto"/>
          <w:sz w:val="28"/>
          <w:szCs w:val="28"/>
          <w:highlight w:val="none"/>
          <w:lang w:val="en-US" w:eastAsia="zh-CN"/>
        </w:rPr>
        <w:t>1.2478</w:t>
      </w:r>
      <w:r>
        <w:rPr>
          <w:rFonts w:hint="eastAsia" w:ascii="宋体" w:hAnsi="宋体" w:eastAsia="宋体" w:cs="宋体"/>
          <w:color w:val="auto"/>
          <w:sz w:val="28"/>
          <w:szCs w:val="28"/>
          <w:lang w:val="en-US" w:eastAsia="zh-CN"/>
        </w:rPr>
        <w:t>公顷；公园绿地面积</w:t>
      </w:r>
      <w:r>
        <w:rPr>
          <w:rFonts w:hint="eastAsia" w:ascii="宋体" w:hAnsi="宋体" w:cs="宋体"/>
          <w:color w:val="auto"/>
          <w:sz w:val="28"/>
          <w:szCs w:val="28"/>
          <w:highlight w:val="none"/>
          <w:lang w:val="en-US" w:eastAsia="zh-CN"/>
        </w:rPr>
        <w:t>0.1070</w:t>
      </w:r>
      <w:r>
        <w:rPr>
          <w:rFonts w:hint="eastAsia" w:ascii="宋体" w:hAnsi="宋体" w:eastAsia="宋体" w:cs="宋体"/>
          <w:color w:val="auto"/>
          <w:sz w:val="28"/>
          <w:szCs w:val="28"/>
          <w:lang w:val="en-US" w:eastAsia="zh-CN"/>
        </w:rPr>
        <w:t>公顷；城镇道路用地面积</w:t>
      </w:r>
      <w:r>
        <w:rPr>
          <w:rFonts w:hint="eastAsia" w:ascii="宋体" w:hAnsi="宋体" w:cs="宋体"/>
          <w:color w:val="auto"/>
          <w:sz w:val="28"/>
          <w:szCs w:val="28"/>
          <w:highlight w:val="none"/>
          <w:lang w:val="en-US" w:eastAsia="zh-CN"/>
        </w:rPr>
        <w:t>0.1985</w:t>
      </w:r>
      <w:r>
        <w:rPr>
          <w:rFonts w:hint="eastAsia" w:ascii="宋体" w:hAnsi="宋体" w:eastAsia="宋体" w:cs="宋体"/>
          <w:color w:val="auto"/>
          <w:sz w:val="28"/>
          <w:szCs w:val="28"/>
          <w:lang w:val="en-US" w:eastAsia="zh-CN"/>
        </w:rPr>
        <w:t>公顷；其他公用设施用地面积</w:t>
      </w:r>
      <w:r>
        <w:rPr>
          <w:rFonts w:hint="eastAsia" w:ascii="宋体" w:hAnsi="宋体" w:cs="宋体"/>
          <w:color w:val="auto"/>
          <w:sz w:val="28"/>
          <w:szCs w:val="28"/>
          <w:highlight w:val="none"/>
          <w:lang w:val="en-US" w:eastAsia="zh-CN"/>
        </w:rPr>
        <w:t>0.6374</w:t>
      </w:r>
      <w:r>
        <w:rPr>
          <w:rFonts w:hint="eastAsia" w:ascii="宋体" w:hAnsi="宋体" w:eastAsia="宋体" w:cs="宋体"/>
          <w:color w:val="auto"/>
          <w:sz w:val="28"/>
          <w:szCs w:val="28"/>
          <w:lang w:val="en-US" w:eastAsia="zh-CN"/>
        </w:rPr>
        <w:t>公顷。</w:t>
      </w:r>
    </w:p>
    <w:p>
      <w:pPr>
        <w:spacing w:line="360" w:lineRule="auto"/>
        <w:ind w:firstLine="56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公益性用地包含防护绿地、城镇道路用地、公园绿地、其他公用设施用地，合计</w:t>
      </w:r>
      <w:r>
        <w:rPr>
          <w:rFonts w:hint="eastAsia" w:ascii="宋体" w:hAnsi="宋体" w:cs="宋体"/>
          <w:color w:val="auto"/>
          <w:sz w:val="28"/>
          <w:szCs w:val="28"/>
          <w:highlight w:val="none"/>
          <w:lang w:val="en-US" w:eastAsia="zh-CN"/>
        </w:rPr>
        <w:t>2.1907</w:t>
      </w:r>
      <w:r>
        <w:rPr>
          <w:rFonts w:hint="eastAsia" w:ascii="宋体" w:hAnsi="宋体" w:eastAsia="宋体" w:cs="宋体"/>
          <w:color w:val="auto"/>
          <w:sz w:val="28"/>
          <w:szCs w:val="28"/>
          <w:lang w:val="en-US" w:eastAsia="zh-CN"/>
        </w:rPr>
        <w:t>公顷，占用地总面积</w:t>
      </w:r>
      <w:r>
        <w:rPr>
          <w:rFonts w:hint="eastAsia" w:ascii="宋体" w:hAnsi="宋体" w:cs="宋体"/>
          <w:color w:val="auto"/>
          <w:sz w:val="28"/>
          <w:szCs w:val="28"/>
          <w:highlight w:val="none"/>
          <w:lang w:val="en-US" w:eastAsia="zh-CN"/>
        </w:rPr>
        <w:t>41.13%</w:t>
      </w:r>
      <w:r>
        <w:rPr>
          <w:rFonts w:hint="eastAsia" w:ascii="宋体" w:hAnsi="宋体" w:eastAsia="宋体" w:cs="宋体"/>
          <w:color w:val="auto"/>
          <w:sz w:val="28"/>
          <w:szCs w:val="28"/>
          <w:lang w:val="en-US" w:eastAsia="zh-CN"/>
        </w:rPr>
        <w:t>，符</w:t>
      </w:r>
      <w:r>
        <w:rPr>
          <w:rFonts w:hint="eastAsia" w:ascii="宋体" w:hAnsi="宋体" w:eastAsia="宋体" w:cs="宋体"/>
          <w:color w:val="auto"/>
          <w:sz w:val="28"/>
          <w:szCs w:val="28"/>
        </w:rPr>
        <w:t>合自然资规〔2020〕5号文</w:t>
      </w:r>
      <w:r>
        <w:rPr>
          <w:rFonts w:hint="eastAsia" w:ascii="宋体" w:hAnsi="宋体" w:eastAsia="宋体" w:cs="宋体"/>
          <w:color w:val="auto"/>
          <w:sz w:val="28"/>
          <w:szCs w:val="28"/>
          <w:lang w:eastAsia="zh-CN"/>
        </w:rPr>
        <w:t>不低于</w:t>
      </w:r>
      <w:r>
        <w:rPr>
          <w:rFonts w:hint="eastAsia" w:ascii="宋体" w:hAnsi="宋体" w:eastAsia="宋体" w:cs="宋体"/>
          <w:color w:val="auto"/>
          <w:sz w:val="28"/>
          <w:szCs w:val="28"/>
          <w:lang w:val="en-US" w:eastAsia="zh-CN"/>
        </w:rPr>
        <w:t>40%的</w:t>
      </w:r>
      <w:r>
        <w:rPr>
          <w:rFonts w:hint="eastAsia" w:ascii="宋体" w:hAnsi="宋体" w:eastAsia="宋体" w:cs="宋体"/>
          <w:color w:val="auto"/>
          <w:sz w:val="28"/>
          <w:szCs w:val="28"/>
        </w:rPr>
        <w:t>规定。</w:t>
      </w:r>
    </w:p>
    <w:p>
      <w:pPr>
        <w:pStyle w:val="4"/>
        <w:spacing w:before="0" w:after="120" w:line="360" w:lineRule="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五、实施计划</w:t>
      </w:r>
    </w:p>
    <w:p>
      <w:pPr>
        <w:spacing w:line="360" w:lineRule="auto"/>
        <w:ind w:firstLine="560"/>
        <w:rPr>
          <w:rFonts w:ascii="宋体" w:hAnsi="宋体" w:eastAsia="宋体" w:cs="宋体"/>
          <w:color w:val="auto"/>
          <w:sz w:val="28"/>
          <w:szCs w:val="28"/>
        </w:rPr>
      </w:pPr>
      <w:r>
        <w:rPr>
          <w:rFonts w:hint="eastAsia" w:ascii="宋体" w:hAnsi="宋体" w:eastAsia="宋体" w:cs="宋体"/>
          <w:color w:val="auto"/>
          <w:sz w:val="28"/>
          <w:szCs w:val="28"/>
        </w:rPr>
        <w:t>本方案</w:t>
      </w:r>
      <w:r>
        <w:rPr>
          <w:rFonts w:hint="eastAsia" w:ascii="宋体" w:hAnsi="宋体" w:eastAsia="宋体" w:cs="宋体"/>
          <w:color w:val="auto"/>
          <w:sz w:val="28"/>
          <w:szCs w:val="28"/>
          <w:lang w:eastAsia="zh-CN"/>
        </w:rPr>
        <w:t>拟安排实施项目面积</w:t>
      </w:r>
      <w:r>
        <w:rPr>
          <w:rFonts w:hint="eastAsia" w:ascii="宋体" w:hAnsi="宋体" w:eastAsia="宋体" w:cs="宋体"/>
          <w:color w:val="auto"/>
          <w:sz w:val="28"/>
          <w:szCs w:val="28"/>
          <w:lang w:val="en-US" w:eastAsia="zh-CN"/>
        </w:rPr>
        <w:t>5.3260公顷</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实施周期为3年（202</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年至202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w:t>
      </w:r>
    </w:p>
    <w:p>
      <w:pPr>
        <w:pStyle w:val="4"/>
        <w:spacing w:before="0" w:after="120" w:line="360" w:lineRule="auto"/>
        <w:rPr>
          <w:rFonts w:ascii="宋体" w:hAnsi="宋体" w:eastAsia="宋体" w:cs="宋体"/>
          <w:sz w:val="32"/>
          <w:szCs w:val="32"/>
        </w:rPr>
      </w:pPr>
      <w:bookmarkStart w:id="5" w:name="_Toc25528"/>
      <w:r>
        <w:rPr>
          <w:rFonts w:hint="eastAsia" w:ascii="宋体" w:hAnsi="宋体" w:eastAsia="宋体" w:cs="宋体"/>
          <w:sz w:val="32"/>
          <w:szCs w:val="32"/>
          <w:lang w:eastAsia="zh-CN"/>
        </w:rPr>
        <w:t>六</w:t>
      </w:r>
      <w:r>
        <w:rPr>
          <w:rFonts w:hint="eastAsia" w:ascii="宋体" w:hAnsi="宋体" w:eastAsia="宋体" w:cs="宋体"/>
          <w:sz w:val="32"/>
          <w:szCs w:val="32"/>
        </w:rPr>
        <w:t>、合规性分析</w:t>
      </w:r>
      <w:bookmarkEnd w:id="5"/>
    </w:p>
    <w:p>
      <w:pPr>
        <w:spacing w:line="360" w:lineRule="auto"/>
        <w:ind w:firstLine="560"/>
        <w:rPr>
          <w:rFonts w:ascii="宋体" w:hAnsi="宋体" w:eastAsia="宋体" w:cs="宋体"/>
          <w:sz w:val="28"/>
          <w:szCs w:val="28"/>
        </w:rPr>
      </w:pPr>
      <w:r>
        <w:rPr>
          <w:rFonts w:hint="eastAsia" w:ascii="宋体" w:hAnsi="宋体" w:eastAsia="宋体" w:cs="宋体"/>
          <w:sz w:val="28"/>
          <w:szCs w:val="28"/>
          <w:lang w:eastAsia="zh-CN"/>
        </w:rPr>
        <w:t>国土空间规划：成片开发范围纳入国土空间规划确定的城镇开发边界过渡期内的集中建设区，</w:t>
      </w:r>
      <w:r>
        <w:rPr>
          <w:rFonts w:hint="eastAsia" w:ascii="宋体" w:hAnsi="宋体" w:eastAsia="宋体" w:cs="宋体"/>
          <w:sz w:val="28"/>
          <w:szCs w:val="28"/>
        </w:rPr>
        <w:t>承诺方案获批后，土地征收成片开发范围纳入国土空间规划确定的城镇开发边界内的集中建设区。</w:t>
      </w:r>
    </w:p>
    <w:p>
      <w:pPr>
        <w:spacing w:line="360" w:lineRule="auto"/>
        <w:ind w:firstLine="560"/>
        <w:rPr>
          <w:rFonts w:hint="eastAsia" w:ascii="宋体" w:hAnsi="宋体" w:eastAsia="宋体" w:cs="宋体"/>
          <w:sz w:val="28"/>
          <w:szCs w:val="28"/>
          <w:lang w:eastAsia="zh-CN"/>
        </w:rPr>
      </w:pPr>
      <w:r>
        <w:rPr>
          <w:rFonts w:hint="eastAsia" w:ascii="宋体" w:hAnsi="宋体" w:eastAsia="宋体" w:cs="宋体"/>
          <w:sz w:val="28"/>
          <w:szCs w:val="28"/>
          <w:lang w:eastAsia="zh-CN"/>
        </w:rPr>
        <w:t>国民经济和社会发展规划：</w:t>
      </w:r>
      <w:r>
        <w:rPr>
          <w:rFonts w:hint="eastAsia" w:ascii="宋体" w:hAnsi="宋体" w:eastAsia="宋体" w:cs="宋体"/>
          <w:sz w:val="28"/>
          <w:szCs w:val="28"/>
        </w:rPr>
        <w:t>方案与现行国民经济和社会发展规划相符，土地征收成片开发拟建项目符合规划的发展定位、要求，有利于完成规划目标与任务。方案已纳入国民经济和社会发展年度计划</w:t>
      </w:r>
      <w:r>
        <w:rPr>
          <w:rFonts w:hint="eastAsia" w:ascii="宋体" w:hAnsi="宋体" w:eastAsia="宋体" w:cs="宋体"/>
          <w:sz w:val="28"/>
          <w:szCs w:val="28"/>
          <w:lang w:eastAsia="zh-CN"/>
        </w:rPr>
        <w:t>。</w:t>
      </w:r>
    </w:p>
    <w:p>
      <w:pPr>
        <w:spacing w:line="360" w:lineRule="auto"/>
        <w:ind w:firstLine="560"/>
        <w:rPr>
          <w:rFonts w:ascii="宋体" w:hAnsi="宋体" w:eastAsia="宋体" w:cs="宋体"/>
          <w:sz w:val="28"/>
          <w:szCs w:val="28"/>
        </w:rPr>
      </w:pPr>
      <w:r>
        <w:rPr>
          <w:rFonts w:hint="eastAsia" w:ascii="宋体" w:hAnsi="宋体" w:eastAsia="宋体" w:cs="宋体"/>
          <w:sz w:val="28"/>
          <w:szCs w:val="28"/>
        </w:rPr>
        <w:t>占用永久基本农田和其他法律法规规定不允许占用或开发的情形</w:t>
      </w:r>
      <w:r>
        <w:rPr>
          <w:rFonts w:hint="eastAsia" w:ascii="宋体" w:hAnsi="宋体" w:eastAsia="宋体" w:cs="宋体"/>
          <w:sz w:val="28"/>
          <w:szCs w:val="28"/>
          <w:lang w:eastAsia="zh-CN"/>
        </w:rPr>
        <w:t>：</w:t>
      </w:r>
      <w:r>
        <w:rPr>
          <w:rFonts w:hint="eastAsia" w:ascii="宋体" w:hAnsi="宋体" w:eastAsia="宋体" w:cs="宋体"/>
          <w:sz w:val="28"/>
          <w:szCs w:val="28"/>
        </w:rPr>
        <w:t>成片开发范围内不占用</w:t>
      </w:r>
      <w:r>
        <w:rPr>
          <w:rFonts w:hint="eastAsia" w:ascii="宋体" w:hAnsi="宋体" w:eastAsia="宋体" w:cs="宋体"/>
          <w:sz w:val="28"/>
          <w:szCs w:val="28"/>
          <w:lang w:val="en-US" w:eastAsia="zh-CN"/>
        </w:rPr>
        <w:t>永久基本农田、生态保护红线、生态公益林、自然保护地、饮用水水源保护区等各类保护区。</w:t>
      </w:r>
    </w:p>
    <w:p>
      <w:pPr>
        <w:pStyle w:val="4"/>
        <w:spacing w:before="0" w:after="120" w:line="360" w:lineRule="auto"/>
        <w:rPr>
          <w:rFonts w:hint="eastAsia" w:ascii="宋体" w:hAnsi="宋体" w:eastAsia="宋体" w:cs="宋体"/>
          <w:sz w:val="32"/>
          <w:szCs w:val="32"/>
        </w:rPr>
      </w:pPr>
      <w:bookmarkStart w:id="6" w:name="_Toc2551"/>
      <w:r>
        <w:rPr>
          <w:rFonts w:hint="eastAsia" w:ascii="宋体" w:hAnsi="宋体" w:eastAsia="宋体" w:cs="宋体"/>
          <w:sz w:val="32"/>
          <w:szCs w:val="32"/>
          <w:lang w:eastAsia="zh-CN"/>
        </w:rPr>
        <w:t>七</w:t>
      </w:r>
      <w:r>
        <w:rPr>
          <w:rFonts w:hint="eastAsia" w:ascii="宋体" w:hAnsi="宋体" w:eastAsia="宋体" w:cs="宋体"/>
          <w:sz w:val="32"/>
          <w:szCs w:val="32"/>
        </w:rPr>
        <w:t>、效益评估</w:t>
      </w:r>
      <w:bookmarkEnd w:id="6"/>
    </w:p>
    <w:p>
      <w:pPr>
        <w:shd w:val="clear"/>
        <w:ind w:firstLine="560" w:firstLineChars="200"/>
        <w:rPr>
          <w:rFonts w:hint="default" w:ascii="宋体" w:hAnsi="宋体" w:eastAsia="宋体" w:cs="宋体"/>
          <w:color w:val="auto"/>
          <w:kern w:val="2"/>
          <w:sz w:val="28"/>
          <w:szCs w:val="28"/>
          <w:highlight w:val="none"/>
          <w:lang w:val="en-US" w:eastAsia="zh-CN" w:bidi="ar-SA"/>
        </w:rPr>
      </w:pPr>
      <w:r>
        <w:rPr>
          <w:rFonts w:hint="eastAsia" w:ascii="宋体" w:hAnsi="宋体" w:eastAsia="宋体" w:cs="宋体"/>
          <w:sz w:val="28"/>
          <w:szCs w:val="28"/>
          <w:lang w:eastAsia="zh-CN"/>
        </w:rPr>
        <w:t>土地利用效益：</w:t>
      </w:r>
      <w:r>
        <w:rPr>
          <w:rFonts w:hint="eastAsia" w:ascii="宋体" w:hAnsi="宋体" w:eastAsia="宋体" w:cs="宋体"/>
          <w:sz w:val="28"/>
          <w:szCs w:val="28"/>
        </w:rPr>
        <w:t>本方案分为工业用地</w:t>
      </w:r>
      <w:r>
        <w:rPr>
          <w:rFonts w:hint="eastAsia" w:ascii="宋体" w:hAnsi="宋体" w:cs="宋体"/>
          <w:color w:val="auto"/>
          <w:sz w:val="28"/>
          <w:szCs w:val="28"/>
          <w:highlight w:val="none"/>
          <w:lang w:val="en-US" w:eastAsia="zh-CN"/>
        </w:rPr>
        <w:t>3.1353</w:t>
      </w:r>
      <w:r>
        <w:rPr>
          <w:rFonts w:hint="eastAsia" w:ascii="宋体" w:hAnsi="宋体" w:eastAsia="宋体" w:cs="宋体"/>
          <w:sz w:val="28"/>
          <w:szCs w:val="28"/>
        </w:rPr>
        <w:t>公顷，主要用途是精选萤石矿生产性活动为主导。严禁在工业用地范围内建造成套住宅、酒店、宾馆和培训中心等非生产性配套设施；同时，预计新建工业项目投资强度不低于1500万元/公顷，工业</w:t>
      </w:r>
      <w:r>
        <w:rPr>
          <w:rFonts w:hint="eastAsia" w:ascii="宋体" w:hAnsi="宋体" w:eastAsia="宋体" w:cs="宋体"/>
          <w:sz w:val="28"/>
          <w:szCs w:val="28"/>
          <w:lang w:val="en-US" w:eastAsia="zh-CN"/>
        </w:rPr>
        <w:t>用地</w:t>
      </w:r>
      <w:r>
        <w:rPr>
          <w:rFonts w:hint="eastAsia" w:ascii="宋体" w:hAnsi="宋体" w:eastAsia="宋体" w:cs="宋体"/>
          <w:sz w:val="28"/>
          <w:szCs w:val="28"/>
        </w:rPr>
        <w:t>容积率不小于1.0，工业项目建筑密度不低于30%，建筑限高小于15米，工业项目绿地率为10-20%，能促进土地资源的节约集约和优化配置</w:t>
      </w:r>
      <w:r>
        <w:rPr>
          <w:rFonts w:hint="eastAsia" w:ascii="宋体" w:hAnsi="宋体" w:eastAsia="宋体" w:cs="宋体"/>
          <w:color w:val="auto"/>
          <w:kern w:val="2"/>
          <w:sz w:val="28"/>
          <w:szCs w:val="28"/>
          <w:highlight w:val="none"/>
          <w:lang w:val="en-US" w:eastAsia="zh-CN" w:bidi="ar-SA"/>
        </w:rPr>
        <w:t>。</w:t>
      </w:r>
    </w:p>
    <w:p>
      <w:pPr>
        <w:shd w:val="clear"/>
        <w:spacing w:line="360" w:lineRule="auto"/>
        <w:ind w:firstLine="560"/>
        <w:rPr>
          <w:rFonts w:hint="default" w:ascii="宋体" w:hAnsi="宋体" w:eastAsia="宋体" w:cs="宋体"/>
          <w:color w:val="auto"/>
          <w:sz w:val="28"/>
          <w:szCs w:val="28"/>
          <w:highlight w:val="none"/>
          <w:lang w:val="en-US" w:eastAsia="zh-CN"/>
        </w:rPr>
      </w:pPr>
      <w:r>
        <w:rPr>
          <w:rFonts w:hint="eastAsia" w:ascii="宋体" w:hAnsi="宋体" w:eastAsia="宋体" w:cs="宋体"/>
          <w:sz w:val="28"/>
          <w:szCs w:val="28"/>
          <w:lang w:eastAsia="zh-CN"/>
        </w:rPr>
        <w:t>经济效益：</w:t>
      </w:r>
      <w:r>
        <w:rPr>
          <w:rFonts w:hint="eastAsia" w:ascii="宋体" w:hAnsi="宋体" w:eastAsia="宋体" w:cs="宋体"/>
          <w:color w:val="auto"/>
          <w:sz w:val="28"/>
          <w:szCs w:val="28"/>
          <w:highlight w:val="none"/>
          <w:lang w:val="en-US" w:eastAsia="zh-CN"/>
        </w:rPr>
        <w:t>工业用地面积3.1353公顷，预计投资总额约10000万元，年总产值约8200.5万元，年均创税约500万元。相较以往传统采矿企业，本方案将改进工艺、产品创新、扩大规模，开展增产增效行动。</w:t>
      </w:r>
    </w:p>
    <w:p>
      <w:pPr>
        <w:spacing w:line="360" w:lineRule="auto"/>
        <w:ind w:firstLine="560"/>
        <w:rPr>
          <w:rFonts w:ascii="宋体" w:hAnsi="宋体" w:eastAsia="宋体" w:cs="宋体"/>
          <w:sz w:val="28"/>
          <w:szCs w:val="28"/>
        </w:rPr>
      </w:pPr>
      <w:r>
        <w:rPr>
          <w:rFonts w:hint="eastAsia" w:ascii="宋体" w:hAnsi="宋体" w:eastAsia="宋体" w:cs="宋体"/>
          <w:sz w:val="28"/>
          <w:szCs w:val="28"/>
          <w:lang w:eastAsia="zh-CN"/>
        </w:rPr>
        <w:t>社会效益：</w:t>
      </w:r>
      <w:r>
        <w:rPr>
          <w:rFonts w:hint="eastAsia" w:ascii="宋体" w:hAnsi="宋体" w:eastAsia="宋体" w:cs="宋体"/>
          <w:sz w:val="28"/>
          <w:szCs w:val="28"/>
        </w:rPr>
        <w:t>方案实施后，将创造更多的就业机会，涉及各项工程在建设过程中将提供约50个临时的劳动岗位；片区建设完成后，预计提供不低于</w:t>
      </w:r>
      <w:r>
        <w:rPr>
          <w:rFonts w:hint="eastAsia" w:ascii="宋体" w:hAnsi="宋体" w:eastAsia="宋体" w:cs="宋体"/>
          <w:sz w:val="28"/>
          <w:szCs w:val="28"/>
          <w:lang w:val="en-US" w:eastAsia="zh-CN"/>
        </w:rPr>
        <w:t>30</w:t>
      </w:r>
      <w:r>
        <w:rPr>
          <w:rFonts w:hint="eastAsia" w:ascii="宋体" w:hAnsi="宋体" w:eastAsia="宋体" w:cs="宋体"/>
          <w:sz w:val="28"/>
          <w:szCs w:val="28"/>
        </w:rPr>
        <w:t>个就业岗位，吸收下岗职工与闲置人员人口再就业，促进当地经济和谐发展，解决就业矛盾</w:t>
      </w:r>
      <w:r>
        <w:rPr>
          <w:rFonts w:hint="eastAsia" w:ascii="宋体" w:hAnsi="宋体" w:eastAsia="宋体" w:cs="宋体"/>
          <w:color w:val="auto"/>
          <w:sz w:val="28"/>
          <w:szCs w:val="28"/>
          <w:highlight w:val="none"/>
          <w:lang w:val="en-US" w:eastAsia="zh-CN"/>
        </w:rPr>
        <w:t>。</w:t>
      </w:r>
    </w:p>
    <w:p>
      <w:pPr>
        <w:spacing w:line="360" w:lineRule="auto"/>
        <w:ind w:firstLine="560"/>
        <w:rPr>
          <w:rFonts w:hint="eastAsia" w:ascii="宋体" w:hAnsi="宋体" w:eastAsia="宋体" w:cs="宋体"/>
          <w:sz w:val="28"/>
          <w:szCs w:val="28"/>
          <w:lang w:eastAsia="zh-CN"/>
        </w:rPr>
      </w:pPr>
      <w:r>
        <w:rPr>
          <w:rFonts w:hint="eastAsia" w:ascii="宋体" w:hAnsi="宋体" w:eastAsia="宋体" w:cs="宋体"/>
          <w:sz w:val="28"/>
          <w:szCs w:val="28"/>
          <w:lang w:eastAsia="zh-CN"/>
        </w:rPr>
        <w:t>生态效益：</w:t>
      </w:r>
      <w:r>
        <w:rPr>
          <w:rFonts w:hint="eastAsia" w:ascii="宋体" w:hAnsi="宋体" w:eastAsia="宋体" w:cs="宋体"/>
          <w:color w:val="auto"/>
          <w:kern w:val="2"/>
          <w:sz w:val="28"/>
          <w:szCs w:val="28"/>
          <w:highlight w:val="none"/>
          <w:lang w:val="en-US" w:eastAsia="zh-CN" w:bidi="ar-SA"/>
        </w:rPr>
        <w:t>规划用地四周有连绵的山体作为生态屏障，对县城及周边居民点的影响相对较小，方案内绿地与广场用地面积为1.3548公顷，其中防护绿地为1.2478公顷，占成片开发用地比例达24.77%，将提高片区生态环境质量，有效降低粉尘污染，树种的选择与应用上体现多样化和乡土化，改善生态环境，减少对生态环境和城市景观的影响，实现景观、生态和防护多项功能</w:t>
      </w:r>
      <w:r>
        <w:rPr>
          <w:rFonts w:hint="eastAsia" w:ascii="宋体" w:hAnsi="宋体" w:eastAsia="宋体" w:cs="宋体"/>
          <w:sz w:val="28"/>
          <w:szCs w:val="28"/>
        </w:rPr>
        <w:t>。</w:t>
      </w:r>
    </w:p>
    <w:p>
      <w:pPr>
        <w:pStyle w:val="4"/>
        <w:spacing w:before="120" w:after="120" w:line="360" w:lineRule="auto"/>
        <w:rPr>
          <w:rFonts w:ascii="宋体" w:hAnsi="宋体" w:eastAsia="宋体" w:cs="宋体"/>
          <w:sz w:val="32"/>
          <w:szCs w:val="32"/>
        </w:rPr>
      </w:pPr>
      <w:bookmarkStart w:id="7" w:name="_Toc31275"/>
      <w:r>
        <w:rPr>
          <w:rFonts w:hint="eastAsia" w:ascii="宋体" w:hAnsi="宋体" w:eastAsia="宋体" w:cs="宋体"/>
          <w:sz w:val="32"/>
          <w:szCs w:val="32"/>
          <w:lang w:eastAsia="zh-CN"/>
        </w:rPr>
        <w:t>八</w:t>
      </w:r>
      <w:r>
        <w:rPr>
          <w:rFonts w:hint="eastAsia" w:ascii="宋体" w:hAnsi="宋体" w:eastAsia="宋体" w:cs="宋体"/>
          <w:sz w:val="32"/>
          <w:szCs w:val="32"/>
        </w:rPr>
        <w:t>、结论</w:t>
      </w:r>
      <w:bookmarkEnd w:id="7"/>
    </w:p>
    <w:p>
      <w:pPr>
        <w:spacing w:line="360" w:lineRule="auto"/>
        <w:ind w:firstLine="560"/>
        <w:rPr>
          <w:rFonts w:hint="eastAsia" w:ascii="宋体" w:hAnsi="宋体" w:eastAsia="宋体" w:cs="宋体"/>
          <w:sz w:val="28"/>
          <w:szCs w:val="28"/>
        </w:rPr>
      </w:pPr>
      <w:r>
        <w:rPr>
          <w:rFonts w:hint="eastAsia" w:ascii="宋体" w:hAnsi="宋体" w:eastAsia="宋体" w:cs="宋体"/>
          <w:sz w:val="28"/>
          <w:szCs w:val="28"/>
        </w:rPr>
        <w:t>本土地征收成片开发方案符合国民经济和社会发展规划、土地利用总体规划和专项规划，已纳入国民经济和社会发展年度计划，符合部省规定的标准，做到了保护耕地、维护农民合法权益、节约集约用地、保护生态环境，能够促进经济社会可持续发展。</w:t>
      </w:r>
    </w:p>
    <w:p>
      <w:pPr>
        <w:pStyle w:val="4"/>
        <w:spacing w:before="120" w:after="120" w:line="360" w:lineRule="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附图1：位置示意图</w:t>
      </w:r>
    </w:p>
    <w:p>
      <w:pPr>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372735" cy="7599680"/>
            <wp:effectExtent l="0" t="0" r="18415" b="1270"/>
            <wp:docPr id="1" name="图片 1" descr="清流县成片开发位置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清流县成片开发位置示意图"/>
                    <pic:cNvPicPr>
                      <a:picLocks noChangeAspect="1"/>
                    </pic:cNvPicPr>
                  </pic:nvPicPr>
                  <pic:blipFill>
                    <a:blip r:embed="rId5"/>
                    <a:stretch>
                      <a:fillRect/>
                    </a:stretch>
                  </pic:blipFill>
                  <pic:spPr>
                    <a:xfrm>
                      <a:off x="0" y="0"/>
                      <a:ext cx="5372735" cy="7599680"/>
                    </a:xfrm>
                    <a:prstGeom prst="rect">
                      <a:avLst/>
                    </a:prstGeom>
                  </pic:spPr>
                </pic:pic>
              </a:graphicData>
            </a:graphic>
          </wp:inline>
        </w:drawing>
      </w:r>
      <w:bookmarkStart w:id="8" w:name="_GoBack"/>
      <w:bookmarkEnd w:id="8"/>
    </w:p>
    <w:p>
      <w:pPr>
        <w:rPr>
          <w:rFonts w:hint="eastAsia" w:ascii="宋体" w:hAnsi="宋体" w:eastAsia="宋体" w:cs="宋体"/>
          <w:sz w:val="28"/>
          <w:szCs w:val="28"/>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179AE"/>
    <w:multiLevelType w:val="singleLevel"/>
    <w:tmpl w:val="CFF179A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FCB"/>
    <w:rsid w:val="000242E2"/>
    <w:rsid w:val="00053419"/>
    <w:rsid w:val="00056E50"/>
    <w:rsid w:val="0007490B"/>
    <w:rsid w:val="000A7C76"/>
    <w:rsid w:val="000D16AF"/>
    <w:rsid w:val="00114A33"/>
    <w:rsid w:val="001453E2"/>
    <w:rsid w:val="00161137"/>
    <w:rsid w:val="00170C3D"/>
    <w:rsid w:val="00172A27"/>
    <w:rsid w:val="0019296C"/>
    <w:rsid w:val="001B5A46"/>
    <w:rsid w:val="001E1C1E"/>
    <w:rsid w:val="00201970"/>
    <w:rsid w:val="00213BE3"/>
    <w:rsid w:val="002262C1"/>
    <w:rsid w:val="002A4671"/>
    <w:rsid w:val="002B05AD"/>
    <w:rsid w:val="002E18A5"/>
    <w:rsid w:val="002E4B8D"/>
    <w:rsid w:val="002F01B7"/>
    <w:rsid w:val="00336AE7"/>
    <w:rsid w:val="003D1643"/>
    <w:rsid w:val="004002B0"/>
    <w:rsid w:val="0040365F"/>
    <w:rsid w:val="00413A5A"/>
    <w:rsid w:val="004701E6"/>
    <w:rsid w:val="00470A07"/>
    <w:rsid w:val="0049281D"/>
    <w:rsid w:val="004A2894"/>
    <w:rsid w:val="004E3135"/>
    <w:rsid w:val="00541FE2"/>
    <w:rsid w:val="00584F1E"/>
    <w:rsid w:val="005A4C5C"/>
    <w:rsid w:val="00624116"/>
    <w:rsid w:val="00627F3F"/>
    <w:rsid w:val="006500E8"/>
    <w:rsid w:val="006653ED"/>
    <w:rsid w:val="00675B1D"/>
    <w:rsid w:val="006802A1"/>
    <w:rsid w:val="006C4AD2"/>
    <w:rsid w:val="006D0E34"/>
    <w:rsid w:val="006F1B01"/>
    <w:rsid w:val="007226C9"/>
    <w:rsid w:val="0076423B"/>
    <w:rsid w:val="00797034"/>
    <w:rsid w:val="007B642F"/>
    <w:rsid w:val="007C423E"/>
    <w:rsid w:val="007C52F4"/>
    <w:rsid w:val="007C5949"/>
    <w:rsid w:val="007D6A24"/>
    <w:rsid w:val="007F07F5"/>
    <w:rsid w:val="00821E79"/>
    <w:rsid w:val="008553F3"/>
    <w:rsid w:val="00884D7A"/>
    <w:rsid w:val="008962F4"/>
    <w:rsid w:val="008A0C4B"/>
    <w:rsid w:val="008A249A"/>
    <w:rsid w:val="008A25E5"/>
    <w:rsid w:val="008A31F5"/>
    <w:rsid w:val="008A5DF2"/>
    <w:rsid w:val="008A7ABC"/>
    <w:rsid w:val="008E783B"/>
    <w:rsid w:val="009112D5"/>
    <w:rsid w:val="00937636"/>
    <w:rsid w:val="00943090"/>
    <w:rsid w:val="0098188E"/>
    <w:rsid w:val="00991F47"/>
    <w:rsid w:val="009962E2"/>
    <w:rsid w:val="009C0141"/>
    <w:rsid w:val="009D62D3"/>
    <w:rsid w:val="009E454C"/>
    <w:rsid w:val="009E4FD8"/>
    <w:rsid w:val="009F1410"/>
    <w:rsid w:val="00A00BB9"/>
    <w:rsid w:val="00A014B1"/>
    <w:rsid w:val="00A4207D"/>
    <w:rsid w:val="00A61DFF"/>
    <w:rsid w:val="00A66703"/>
    <w:rsid w:val="00B500F6"/>
    <w:rsid w:val="00B571F7"/>
    <w:rsid w:val="00B7221B"/>
    <w:rsid w:val="00BA0A5D"/>
    <w:rsid w:val="00BD33FC"/>
    <w:rsid w:val="00BE32C8"/>
    <w:rsid w:val="00C30B8E"/>
    <w:rsid w:val="00C65488"/>
    <w:rsid w:val="00C94375"/>
    <w:rsid w:val="00CC0EC0"/>
    <w:rsid w:val="00CD2CA4"/>
    <w:rsid w:val="00CD758A"/>
    <w:rsid w:val="00D15E11"/>
    <w:rsid w:val="00D23208"/>
    <w:rsid w:val="00D33977"/>
    <w:rsid w:val="00D67AD9"/>
    <w:rsid w:val="00D847B5"/>
    <w:rsid w:val="00DB2541"/>
    <w:rsid w:val="00DD2F4A"/>
    <w:rsid w:val="00DE2D18"/>
    <w:rsid w:val="00DE33D6"/>
    <w:rsid w:val="00E12875"/>
    <w:rsid w:val="00E27744"/>
    <w:rsid w:val="00E55BCC"/>
    <w:rsid w:val="00E56FCB"/>
    <w:rsid w:val="00E60273"/>
    <w:rsid w:val="00E63E4D"/>
    <w:rsid w:val="00E71662"/>
    <w:rsid w:val="00EB4EA5"/>
    <w:rsid w:val="00EE1C6E"/>
    <w:rsid w:val="00EF75BC"/>
    <w:rsid w:val="00F026A3"/>
    <w:rsid w:val="00F138E1"/>
    <w:rsid w:val="00F458E9"/>
    <w:rsid w:val="00F72912"/>
    <w:rsid w:val="00F93ABE"/>
    <w:rsid w:val="00FB7782"/>
    <w:rsid w:val="00FD30DA"/>
    <w:rsid w:val="00FF102F"/>
    <w:rsid w:val="00FF57E5"/>
    <w:rsid w:val="01460D40"/>
    <w:rsid w:val="01812303"/>
    <w:rsid w:val="01DD16BC"/>
    <w:rsid w:val="022179EE"/>
    <w:rsid w:val="02CF1883"/>
    <w:rsid w:val="0317747E"/>
    <w:rsid w:val="031B5C5A"/>
    <w:rsid w:val="03B32304"/>
    <w:rsid w:val="03BD3335"/>
    <w:rsid w:val="03D21C58"/>
    <w:rsid w:val="043D117C"/>
    <w:rsid w:val="04566224"/>
    <w:rsid w:val="04A66C6D"/>
    <w:rsid w:val="05160532"/>
    <w:rsid w:val="054329CF"/>
    <w:rsid w:val="05A32EB8"/>
    <w:rsid w:val="06171B73"/>
    <w:rsid w:val="0626511C"/>
    <w:rsid w:val="06313A66"/>
    <w:rsid w:val="06A674C8"/>
    <w:rsid w:val="06D129F2"/>
    <w:rsid w:val="06FE6779"/>
    <w:rsid w:val="070674A2"/>
    <w:rsid w:val="07605486"/>
    <w:rsid w:val="079059D3"/>
    <w:rsid w:val="0821709F"/>
    <w:rsid w:val="08594A92"/>
    <w:rsid w:val="086932E2"/>
    <w:rsid w:val="08996BF4"/>
    <w:rsid w:val="09206D42"/>
    <w:rsid w:val="094D0090"/>
    <w:rsid w:val="095C4E1F"/>
    <w:rsid w:val="09B90DC2"/>
    <w:rsid w:val="09D35F9B"/>
    <w:rsid w:val="09E233D7"/>
    <w:rsid w:val="09E87110"/>
    <w:rsid w:val="09FF7554"/>
    <w:rsid w:val="0A2B0001"/>
    <w:rsid w:val="0A81540F"/>
    <w:rsid w:val="0AC30E20"/>
    <w:rsid w:val="0AD80EDB"/>
    <w:rsid w:val="0B2434ED"/>
    <w:rsid w:val="0B26350D"/>
    <w:rsid w:val="0B5039F5"/>
    <w:rsid w:val="0B75127F"/>
    <w:rsid w:val="0B8A455F"/>
    <w:rsid w:val="0CDE0FE6"/>
    <w:rsid w:val="0D27700F"/>
    <w:rsid w:val="0D3C3C1E"/>
    <w:rsid w:val="0D5120AF"/>
    <w:rsid w:val="0DA10B2D"/>
    <w:rsid w:val="0DB9517B"/>
    <w:rsid w:val="0DD432A1"/>
    <w:rsid w:val="0DFB5E2E"/>
    <w:rsid w:val="0E291BD2"/>
    <w:rsid w:val="0E385780"/>
    <w:rsid w:val="0EF83882"/>
    <w:rsid w:val="0F026620"/>
    <w:rsid w:val="0F4D3C60"/>
    <w:rsid w:val="10455402"/>
    <w:rsid w:val="10AE2DF4"/>
    <w:rsid w:val="10FF47EA"/>
    <w:rsid w:val="11AA0225"/>
    <w:rsid w:val="12830E13"/>
    <w:rsid w:val="12846870"/>
    <w:rsid w:val="12C80327"/>
    <w:rsid w:val="1311511E"/>
    <w:rsid w:val="137F472B"/>
    <w:rsid w:val="13A82AA4"/>
    <w:rsid w:val="13BD5F08"/>
    <w:rsid w:val="143A5DC9"/>
    <w:rsid w:val="1466509C"/>
    <w:rsid w:val="1478524F"/>
    <w:rsid w:val="14C66595"/>
    <w:rsid w:val="14CF4C7A"/>
    <w:rsid w:val="155E589B"/>
    <w:rsid w:val="1601458C"/>
    <w:rsid w:val="16AC1A62"/>
    <w:rsid w:val="16D07931"/>
    <w:rsid w:val="16E626AB"/>
    <w:rsid w:val="17165FDC"/>
    <w:rsid w:val="172D5AE9"/>
    <w:rsid w:val="179A20C1"/>
    <w:rsid w:val="17D23FBD"/>
    <w:rsid w:val="17FF54E7"/>
    <w:rsid w:val="18481BD7"/>
    <w:rsid w:val="187D1C12"/>
    <w:rsid w:val="18B570C9"/>
    <w:rsid w:val="19C1032C"/>
    <w:rsid w:val="19D57CA9"/>
    <w:rsid w:val="1A410846"/>
    <w:rsid w:val="1B2027D5"/>
    <w:rsid w:val="1B212B17"/>
    <w:rsid w:val="1B284754"/>
    <w:rsid w:val="1B57353E"/>
    <w:rsid w:val="1B644E36"/>
    <w:rsid w:val="1B8F44EF"/>
    <w:rsid w:val="1B9C7EB4"/>
    <w:rsid w:val="1BC65521"/>
    <w:rsid w:val="1C611970"/>
    <w:rsid w:val="1C756793"/>
    <w:rsid w:val="1C890D68"/>
    <w:rsid w:val="1C967295"/>
    <w:rsid w:val="1D160E52"/>
    <w:rsid w:val="1DC9610E"/>
    <w:rsid w:val="1E1C5387"/>
    <w:rsid w:val="1ED3644C"/>
    <w:rsid w:val="1EDA44AF"/>
    <w:rsid w:val="1EDD325E"/>
    <w:rsid w:val="1F3215AA"/>
    <w:rsid w:val="1F3F104F"/>
    <w:rsid w:val="1F784147"/>
    <w:rsid w:val="1F9317DA"/>
    <w:rsid w:val="2070591B"/>
    <w:rsid w:val="20D55975"/>
    <w:rsid w:val="20EF574E"/>
    <w:rsid w:val="21750DA9"/>
    <w:rsid w:val="22E05479"/>
    <w:rsid w:val="22EA0D4A"/>
    <w:rsid w:val="22EC1C89"/>
    <w:rsid w:val="23896E9D"/>
    <w:rsid w:val="239A22C3"/>
    <w:rsid w:val="23E21C4E"/>
    <w:rsid w:val="24215F3C"/>
    <w:rsid w:val="2427296B"/>
    <w:rsid w:val="243963B4"/>
    <w:rsid w:val="246351E2"/>
    <w:rsid w:val="2488236B"/>
    <w:rsid w:val="25032835"/>
    <w:rsid w:val="2564602D"/>
    <w:rsid w:val="25E747F1"/>
    <w:rsid w:val="263F36DE"/>
    <w:rsid w:val="26CC1F60"/>
    <w:rsid w:val="27107E9E"/>
    <w:rsid w:val="276249F4"/>
    <w:rsid w:val="27A33984"/>
    <w:rsid w:val="284309B0"/>
    <w:rsid w:val="28742CD9"/>
    <w:rsid w:val="291D2B67"/>
    <w:rsid w:val="29996963"/>
    <w:rsid w:val="2A4A6C3D"/>
    <w:rsid w:val="2A646D78"/>
    <w:rsid w:val="2A7F659C"/>
    <w:rsid w:val="2A9C4ACC"/>
    <w:rsid w:val="2AA35EE1"/>
    <w:rsid w:val="2B071BCF"/>
    <w:rsid w:val="2B442AD0"/>
    <w:rsid w:val="2BAE15EE"/>
    <w:rsid w:val="2BEA1C63"/>
    <w:rsid w:val="2CB26FC5"/>
    <w:rsid w:val="2CB6725B"/>
    <w:rsid w:val="2CBA576A"/>
    <w:rsid w:val="2CC50534"/>
    <w:rsid w:val="2CEE5AD9"/>
    <w:rsid w:val="2D215FD5"/>
    <w:rsid w:val="2DA07946"/>
    <w:rsid w:val="2DEE187D"/>
    <w:rsid w:val="2E5360C6"/>
    <w:rsid w:val="2E5954A7"/>
    <w:rsid w:val="2E6C12B0"/>
    <w:rsid w:val="2EF86C21"/>
    <w:rsid w:val="2EFD4A2E"/>
    <w:rsid w:val="2F1B445F"/>
    <w:rsid w:val="2F2A1A48"/>
    <w:rsid w:val="2F6510AA"/>
    <w:rsid w:val="30651CBE"/>
    <w:rsid w:val="311D02BF"/>
    <w:rsid w:val="31D35A32"/>
    <w:rsid w:val="325D2C87"/>
    <w:rsid w:val="32BB45CA"/>
    <w:rsid w:val="32C56140"/>
    <w:rsid w:val="33025E8C"/>
    <w:rsid w:val="336C47B6"/>
    <w:rsid w:val="339427FC"/>
    <w:rsid w:val="339E305E"/>
    <w:rsid w:val="34A03EF2"/>
    <w:rsid w:val="34A90344"/>
    <w:rsid w:val="34AB1AC7"/>
    <w:rsid w:val="34B87771"/>
    <w:rsid w:val="34C12CAF"/>
    <w:rsid w:val="3500329F"/>
    <w:rsid w:val="3578585C"/>
    <w:rsid w:val="35A054EA"/>
    <w:rsid w:val="36145FE2"/>
    <w:rsid w:val="36B87133"/>
    <w:rsid w:val="36C91815"/>
    <w:rsid w:val="36D86C0D"/>
    <w:rsid w:val="36F32C4F"/>
    <w:rsid w:val="37003307"/>
    <w:rsid w:val="37BE0844"/>
    <w:rsid w:val="38101E4E"/>
    <w:rsid w:val="38414114"/>
    <w:rsid w:val="388D291C"/>
    <w:rsid w:val="38BC5B57"/>
    <w:rsid w:val="38CF5A6D"/>
    <w:rsid w:val="38DE301E"/>
    <w:rsid w:val="3918716F"/>
    <w:rsid w:val="393E3169"/>
    <w:rsid w:val="39A65BCE"/>
    <w:rsid w:val="39BE27E3"/>
    <w:rsid w:val="39C97AA8"/>
    <w:rsid w:val="39FF45D0"/>
    <w:rsid w:val="3A0B23DE"/>
    <w:rsid w:val="3A676840"/>
    <w:rsid w:val="3A7153A6"/>
    <w:rsid w:val="3A8278DF"/>
    <w:rsid w:val="3AA83861"/>
    <w:rsid w:val="3AFF73C0"/>
    <w:rsid w:val="3B4548B2"/>
    <w:rsid w:val="3BB45E45"/>
    <w:rsid w:val="3BDC1A0A"/>
    <w:rsid w:val="3C3627DD"/>
    <w:rsid w:val="3C3E262F"/>
    <w:rsid w:val="3C7C3570"/>
    <w:rsid w:val="3CAD7AB7"/>
    <w:rsid w:val="3D1865CC"/>
    <w:rsid w:val="3D3977F8"/>
    <w:rsid w:val="3D4177A2"/>
    <w:rsid w:val="3D7C3A12"/>
    <w:rsid w:val="3E1F3E43"/>
    <w:rsid w:val="3F562152"/>
    <w:rsid w:val="3FC910DB"/>
    <w:rsid w:val="3FCD058E"/>
    <w:rsid w:val="3FD110FC"/>
    <w:rsid w:val="4002522E"/>
    <w:rsid w:val="40327260"/>
    <w:rsid w:val="405409F5"/>
    <w:rsid w:val="405D4305"/>
    <w:rsid w:val="414679BC"/>
    <w:rsid w:val="417160E2"/>
    <w:rsid w:val="41792DFD"/>
    <w:rsid w:val="41C905FC"/>
    <w:rsid w:val="41E37814"/>
    <w:rsid w:val="42395C67"/>
    <w:rsid w:val="42434BDC"/>
    <w:rsid w:val="429A1DA4"/>
    <w:rsid w:val="433317B1"/>
    <w:rsid w:val="43606A43"/>
    <w:rsid w:val="443B41B1"/>
    <w:rsid w:val="44E56313"/>
    <w:rsid w:val="45333A4E"/>
    <w:rsid w:val="45E035D5"/>
    <w:rsid w:val="461F65C8"/>
    <w:rsid w:val="46282338"/>
    <w:rsid w:val="47184918"/>
    <w:rsid w:val="4721339C"/>
    <w:rsid w:val="479F0317"/>
    <w:rsid w:val="47F436A8"/>
    <w:rsid w:val="4829139E"/>
    <w:rsid w:val="4837701E"/>
    <w:rsid w:val="483C6F28"/>
    <w:rsid w:val="48C47CCD"/>
    <w:rsid w:val="48DB13DC"/>
    <w:rsid w:val="49283B0C"/>
    <w:rsid w:val="49371215"/>
    <w:rsid w:val="4944492C"/>
    <w:rsid w:val="49997944"/>
    <w:rsid w:val="499E65B3"/>
    <w:rsid w:val="49A2538C"/>
    <w:rsid w:val="49E76414"/>
    <w:rsid w:val="4A1A1D69"/>
    <w:rsid w:val="4A9051F6"/>
    <w:rsid w:val="4A996167"/>
    <w:rsid w:val="4AA456BF"/>
    <w:rsid w:val="4AD8556A"/>
    <w:rsid w:val="4AE9425B"/>
    <w:rsid w:val="4B45380C"/>
    <w:rsid w:val="4B6B1D6B"/>
    <w:rsid w:val="4BB90C72"/>
    <w:rsid w:val="4BE95695"/>
    <w:rsid w:val="4C4B3859"/>
    <w:rsid w:val="4C506A78"/>
    <w:rsid w:val="4CE7044D"/>
    <w:rsid w:val="4CF17D0D"/>
    <w:rsid w:val="4D251F6D"/>
    <w:rsid w:val="4D393F5F"/>
    <w:rsid w:val="4D890B2D"/>
    <w:rsid w:val="4DBE6E23"/>
    <w:rsid w:val="4DC0267E"/>
    <w:rsid w:val="4DD400B2"/>
    <w:rsid w:val="4E264171"/>
    <w:rsid w:val="4E584339"/>
    <w:rsid w:val="4E7E0B12"/>
    <w:rsid w:val="4EAA09C0"/>
    <w:rsid w:val="4EAA1253"/>
    <w:rsid w:val="4F0D5C81"/>
    <w:rsid w:val="4F2E6B6E"/>
    <w:rsid w:val="4F611FA4"/>
    <w:rsid w:val="4F9939FF"/>
    <w:rsid w:val="4F9B2317"/>
    <w:rsid w:val="4FB32658"/>
    <w:rsid w:val="50605337"/>
    <w:rsid w:val="508E75C9"/>
    <w:rsid w:val="51077F20"/>
    <w:rsid w:val="514B5876"/>
    <w:rsid w:val="51675BA5"/>
    <w:rsid w:val="51B97FB0"/>
    <w:rsid w:val="527B5387"/>
    <w:rsid w:val="541A2918"/>
    <w:rsid w:val="542B5F34"/>
    <w:rsid w:val="543E40E0"/>
    <w:rsid w:val="54957B58"/>
    <w:rsid w:val="54E13B68"/>
    <w:rsid w:val="54F614EE"/>
    <w:rsid w:val="551743CC"/>
    <w:rsid w:val="555348CF"/>
    <w:rsid w:val="55C40EA0"/>
    <w:rsid w:val="561B7063"/>
    <w:rsid w:val="563E5BED"/>
    <w:rsid w:val="567B3A1B"/>
    <w:rsid w:val="570047CB"/>
    <w:rsid w:val="574C0B1F"/>
    <w:rsid w:val="58BB10D6"/>
    <w:rsid w:val="58C07CD2"/>
    <w:rsid w:val="59121231"/>
    <w:rsid w:val="59814F78"/>
    <w:rsid w:val="5A5E2B78"/>
    <w:rsid w:val="5A8C75ED"/>
    <w:rsid w:val="5B222F7F"/>
    <w:rsid w:val="5B350B8E"/>
    <w:rsid w:val="5B704619"/>
    <w:rsid w:val="5BA6064C"/>
    <w:rsid w:val="5BB42FD5"/>
    <w:rsid w:val="5C20042F"/>
    <w:rsid w:val="5CA116E8"/>
    <w:rsid w:val="5CA50858"/>
    <w:rsid w:val="5CD51098"/>
    <w:rsid w:val="5D5D7DCA"/>
    <w:rsid w:val="5D7F63CF"/>
    <w:rsid w:val="5DA711C9"/>
    <w:rsid w:val="5DFC3BE6"/>
    <w:rsid w:val="5E133820"/>
    <w:rsid w:val="5E816E27"/>
    <w:rsid w:val="5EB85C4E"/>
    <w:rsid w:val="5F427AB5"/>
    <w:rsid w:val="5F697AFD"/>
    <w:rsid w:val="5FEC1AF9"/>
    <w:rsid w:val="5FEF68BC"/>
    <w:rsid w:val="605A1E8A"/>
    <w:rsid w:val="608E520B"/>
    <w:rsid w:val="61970FAE"/>
    <w:rsid w:val="61A97112"/>
    <w:rsid w:val="61EC3499"/>
    <w:rsid w:val="61F304FF"/>
    <w:rsid w:val="62250B21"/>
    <w:rsid w:val="62653412"/>
    <w:rsid w:val="62AD4EB5"/>
    <w:rsid w:val="62E428D2"/>
    <w:rsid w:val="63036386"/>
    <w:rsid w:val="635A01A1"/>
    <w:rsid w:val="6401421E"/>
    <w:rsid w:val="6403785B"/>
    <w:rsid w:val="641B495E"/>
    <w:rsid w:val="642002C9"/>
    <w:rsid w:val="646D0C78"/>
    <w:rsid w:val="64A55569"/>
    <w:rsid w:val="64CB7118"/>
    <w:rsid w:val="64CD0542"/>
    <w:rsid w:val="658D3C4A"/>
    <w:rsid w:val="65C65E31"/>
    <w:rsid w:val="66152F64"/>
    <w:rsid w:val="66221D4A"/>
    <w:rsid w:val="66223658"/>
    <w:rsid w:val="663522BE"/>
    <w:rsid w:val="66B96193"/>
    <w:rsid w:val="66C57EE8"/>
    <w:rsid w:val="672C3A54"/>
    <w:rsid w:val="673B5260"/>
    <w:rsid w:val="67476A02"/>
    <w:rsid w:val="67804C3B"/>
    <w:rsid w:val="679613AA"/>
    <w:rsid w:val="67AF71E8"/>
    <w:rsid w:val="680815E0"/>
    <w:rsid w:val="681E603B"/>
    <w:rsid w:val="68243042"/>
    <w:rsid w:val="683D3862"/>
    <w:rsid w:val="685D3400"/>
    <w:rsid w:val="688F6C9F"/>
    <w:rsid w:val="68B04AF5"/>
    <w:rsid w:val="68DF51ED"/>
    <w:rsid w:val="68FE4D36"/>
    <w:rsid w:val="69000E65"/>
    <w:rsid w:val="690B7659"/>
    <w:rsid w:val="692E0D69"/>
    <w:rsid w:val="699C66B8"/>
    <w:rsid w:val="69AF31EE"/>
    <w:rsid w:val="69F25C45"/>
    <w:rsid w:val="69FB2508"/>
    <w:rsid w:val="6A825AC4"/>
    <w:rsid w:val="6A96046C"/>
    <w:rsid w:val="6AD110E7"/>
    <w:rsid w:val="6AE62048"/>
    <w:rsid w:val="6B211808"/>
    <w:rsid w:val="6B52574A"/>
    <w:rsid w:val="6B8E66B8"/>
    <w:rsid w:val="6BCB1343"/>
    <w:rsid w:val="6BEE1700"/>
    <w:rsid w:val="6C746319"/>
    <w:rsid w:val="6C7633A2"/>
    <w:rsid w:val="6C7B1632"/>
    <w:rsid w:val="6D010895"/>
    <w:rsid w:val="6D344314"/>
    <w:rsid w:val="6DB83FA3"/>
    <w:rsid w:val="6DDD3DB1"/>
    <w:rsid w:val="6E272C60"/>
    <w:rsid w:val="6ED70CF7"/>
    <w:rsid w:val="6F056876"/>
    <w:rsid w:val="6F394322"/>
    <w:rsid w:val="70602B31"/>
    <w:rsid w:val="70957035"/>
    <w:rsid w:val="71A14A77"/>
    <w:rsid w:val="71B01724"/>
    <w:rsid w:val="725E1F77"/>
    <w:rsid w:val="728D1702"/>
    <w:rsid w:val="72C5056A"/>
    <w:rsid w:val="72CF6FB6"/>
    <w:rsid w:val="73B549A0"/>
    <w:rsid w:val="73E0177E"/>
    <w:rsid w:val="74B5579F"/>
    <w:rsid w:val="75576E1D"/>
    <w:rsid w:val="75E76E33"/>
    <w:rsid w:val="763D3EC5"/>
    <w:rsid w:val="765E515A"/>
    <w:rsid w:val="766D7F44"/>
    <w:rsid w:val="76740C21"/>
    <w:rsid w:val="76D636B8"/>
    <w:rsid w:val="76D84A2B"/>
    <w:rsid w:val="76E91856"/>
    <w:rsid w:val="77002D60"/>
    <w:rsid w:val="77433362"/>
    <w:rsid w:val="775E2326"/>
    <w:rsid w:val="775E4094"/>
    <w:rsid w:val="77904B71"/>
    <w:rsid w:val="77AA6815"/>
    <w:rsid w:val="77AE5B7C"/>
    <w:rsid w:val="78905699"/>
    <w:rsid w:val="789B1A15"/>
    <w:rsid w:val="78E82022"/>
    <w:rsid w:val="78EA358D"/>
    <w:rsid w:val="79565136"/>
    <w:rsid w:val="799F4037"/>
    <w:rsid w:val="79D5293E"/>
    <w:rsid w:val="79F35656"/>
    <w:rsid w:val="7A551E56"/>
    <w:rsid w:val="7A69238D"/>
    <w:rsid w:val="7A925C79"/>
    <w:rsid w:val="7B656A42"/>
    <w:rsid w:val="7C5E038B"/>
    <w:rsid w:val="7C9A0308"/>
    <w:rsid w:val="7CA54866"/>
    <w:rsid w:val="7CB27757"/>
    <w:rsid w:val="7CB51E4D"/>
    <w:rsid w:val="7CB64F96"/>
    <w:rsid w:val="7D662C87"/>
    <w:rsid w:val="7D8D1863"/>
    <w:rsid w:val="7E56510A"/>
    <w:rsid w:val="7E87211A"/>
    <w:rsid w:val="7E911823"/>
    <w:rsid w:val="7F3D7BA4"/>
    <w:rsid w:val="7FCC1BBB"/>
    <w:rsid w:val="7FEE2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7"/>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9">
    <w:name w:val="heading 4"/>
    <w:basedOn w:val="1"/>
    <w:next w:val="7"/>
    <w:qFormat/>
    <w:uiPriority w:val="0"/>
    <w:pPr>
      <w:keepNext/>
      <w:keepLines/>
      <w:spacing w:beforeLines="100"/>
      <w:outlineLvl w:val="3"/>
    </w:pPr>
    <w:rPr>
      <w:rFonts w:ascii="Arial" w:hAnsi="Arial" w:eastAsia="黑体"/>
      <w:bCs/>
      <w:sz w:val="24"/>
      <w:szCs w:val="28"/>
    </w:rPr>
  </w:style>
  <w:style w:type="paragraph" w:styleId="10">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semiHidden/>
    <w:qFormat/>
    <w:uiPriority w:val="0"/>
    <w:pPr>
      <w:spacing w:line="360" w:lineRule="auto"/>
      <w:ind w:firstLine="480" w:firstLineChars="200"/>
    </w:pPr>
    <w:rPr>
      <w:sz w:val="24"/>
    </w:rPr>
  </w:style>
  <w:style w:type="paragraph" w:customStyle="1" w:styleId="7">
    <w:name w:val="0说明正文"/>
    <w:basedOn w:val="8"/>
    <w:qFormat/>
    <w:uiPriority w:val="0"/>
    <w:pPr>
      <w:spacing w:beforeLines="50" w:afterLines="50" w:line="240" w:lineRule="auto"/>
      <w:ind w:firstLine="200"/>
    </w:pPr>
    <w:rPr>
      <w:sz w:val="21"/>
    </w:rPr>
  </w:style>
  <w:style w:type="paragraph" w:customStyle="1" w:styleId="8">
    <w:name w:val="样式 正文文本缩进 + 首行缩进:  2 字符"/>
    <w:basedOn w:val="3"/>
    <w:qFormat/>
    <w:uiPriority w:val="0"/>
    <w:pPr>
      <w:ind w:firstLine="420"/>
    </w:pPr>
    <w:rPr>
      <w:rFonts w:cs="宋体"/>
      <w:szCs w:val="20"/>
    </w:rPr>
  </w:style>
  <w:style w:type="paragraph" w:styleId="11">
    <w:name w:val="annotation text"/>
    <w:basedOn w:val="1"/>
    <w:link w:val="28"/>
    <w:qFormat/>
    <w:uiPriority w:val="0"/>
    <w:pPr>
      <w:jc w:val="left"/>
    </w:pPr>
  </w:style>
  <w:style w:type="paragraph" w:styleId="12">
    <w:name w:val="Balloon Text"/>
    <w:basedOn w:val="1"/>
    <w:qFormat/>
    <w:uiPriority w:val="0"/>
    <w:rPr>
      <w:rFonts w:ascii="Times New Roman" w:hAnsi="Times New Roman" w:eastAsia="宋体" w:cs="Times New Roman"/>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qFormat/>
    <w:uiPriority w:val="0"/>
    <w:pPr>
      <w:spacing w:beforeAutospacing="1" w:afterAutospacing="1"/>
      <w:jc w:val="left"/>
    </w:pPr>
    <w:rPr>
      <w:rFonts w:cs="Times New Roman"/>
      <w:kern w:val="0"/>
      <w:sz w:val="24"/>
    </w:rPr>
  </w:style>
  <w:style w:type="paragraph" w:styleId="18">
    <w:name w:val="annotation subject"/>
    <w:basedOn w:val="11"/>
    <w:next w:val="11"/>
    <w:link w:val="29"/>
    <w:qFormat/>
    <w:uiPriority w:val="0"/>
    <w:rPr>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Hyperlink"/>
    <w:basedOn w:val="21"/>
    <w:qFormat/>
    <w:uiPriority w:val="0"/>
    <w:rPr>
      <w:color w:val="0000FF"/>
      <w:u w:val="single"/>
    </w:rPr>
  </w:style>
  <w:style w:type="character" w:styleId="24">
    <w:name w:val="annotation reference"/>
    <w:basedOn w:val="21"/>
    <w:qFormat/>
    <w:uiPriority w:val="0"/>
    <w:rPr>
      <w:sz w:val="21"/>
      <w:szCs w:val="21"/>
    </w:rPr>
  </w:style>
  <w:style w:type="character" w:customStyle="1" w:styleId="25">
    <w:name w:val="font21"/>
    <w:basedOn w:val="21"/>
    <w:qFormat/>
    <w:uiPriority w:val="0"/>
    <w:rPr>
      <w:rFonts w:hint="default" w:ascii="Times New Roman" w:hAnsi="Times New Roman" w:cs="Times New Roman"/>
      <w:color w:val="000000"/>
      <w:sz w:val="21"/>
      <w:szCs w:val="21"/>
      <w:u w:val="none"/>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8">
    <w:name w:val="批注文字 Char"/>
    <w:basedOn w:val="21"/>
    <w:link w:val="11"/>
    <w:qFormat/>
    <w:uiPriority w:val="0"/>
    <w:rPr>
      <w:kern w:val="2"/>
      <w:sz w:val="21"/>
      <w:szCs w:val="24"/>
    </w:rPr>
  </w:style>
  <w:style w:type="character" w:customStyle="1" w:styleId="29">
    <w:name w:val="批注主题 Char"/>
    <w:basedOn w:val="28"/>
    <w:link w:val="18"/>
    <w:qFormat/>
    <w:uiPriority w:val="0"/>
    <w:rPr>
      <w:b/>
      <w:bCs/>
      <w:kern w:val="2"/>
      <w:sz w:val="21"/>
      <w:szCs w:val="24"/>
    </w:rPr>
  </w:style>
  <w:style w:type="paragraph" w:customStyle="1" w:styleId="30">
    <w:name w:val="修订1"/>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274B5C-A3F0-42BF-8FD7-7FDC3DF75B0E}">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1170</Words>
  <Characters>6673</Characters>
  <Lines>55</Lines>
  <Paragraphs>15</Paragraphs>
  <TotalTime>9</TotalTime>
  <ScaleCrop>false</ScaleCrop>
  <LinksUpToDate>false</LinksUpToDate>
  <CharactersWithSpaces>7828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2021-04-20T01:38:00Z</dcterms:created>
  <dc:creator>Administrator</dc:creator>
  <cp:lastModifiedBy>Admin</cp:lastModifiedBy>
  <dcterms:modified xsi:type="dcterms:W3CDTF">2022-05-13T10:01:56Z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83D5894DDB824030BFA68084968B023F</vt:lpwstr>
  </property>
</Properties>
</file>