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4D52" w14:textId="77777777" w:rsidR="00FB3561" w:rsidRDefault="002C10F6" w:rsidP="00054433">
      <w:pPr>
        <w:widowControl/>
        <w:shd w:val="clear" w:color="auto" w:fill="FFFFFF"/>
        <w:jc w:val="center"/>
        <w:outlineLvl w:val="0"/>
        <w:rPr>
          <w:rFonts w:ascii="Times New Roman" w:eastAsia="仿宋_GB2312" w:hAnsi="Times New Roman"/>
          <w:b/>
          <w:bCs/>
          <w:sz w:val="44"/>
          <w:szCs w:val="44"/>
        </w:rPr>
      </w:pPr>
      <w:r w:rsidRPr="002C10F6">
        <w:rPr>
          <w:rFonts w:ascii="Times New Roman" w:eastAsia="仿宋_GB2312" w:hAnsi="Times New Roman" w:hint="eastAsia"/>
          <w:b/>
          <w:bCs/>
          <w:sz w:val="44"/>
          <w:szCs w:val="44"/>
        </w:rPr>
        <w:t>清流县</w:t>
      </w:r>
      <w:r w:rsidRPr="002C10F6">
        <w:rPr>
          <w:rFonts w:ascii="Times New Roman" w:eastAsia="仿宋_GB2312" w:hAnsi="Times New Roman" w:hint="eastAsia"/>
          <w:b/>
          <w:bCs/>
          <w:sz w:val="44"/>
          <w:szCs w:val="44"/>
        </w:rPr>
        <w:t>2022</w:t>
      </w:r>
      <w:r w:rsidRPr="002C10F6">
        <w:rPr>
          <w:rFonts w:ascii="Times New Roman" w:eastAsia="仿宋_GB2312" w:hAnsi="Times New Roman" w:hint="eastAsia"/>
          <w:b/>
          <w:bCs/>
          <w:sz w:val="44"/>
          <w:szCs w:val="44"/>
        </w:rPr>
        <w:t>年度第六批次土地征收</w:t>
      </w:r>
    </w:p>
    <w:p w14:paraId="0BD25582" w14:textId="7D41B2AB" w:rsidR="00054433" w:rsidRDefault="002C10F6" w:rsidP="00054433">
      <w:pPr>
        <w:widowControl/>
        <w:shd w:val="clear" w:color="auto" w:fill="FFFFFF"/>
        <w:jc w:val="center"/>
        <w:outlineLvl w:val="0"/>
        <w:rPr>
          <w:rFonts w:ascii="Times New Roman" w:eastAsia="方正小标宋简体" w:hAnsi="Times New Roman"/>
          <w:spacing w:val="8"/>
          <w:kern w:val="0"/>
          <w:sz w:val="48"/>
          <w:szCs w:val="48"/>
        </w:rPr>
      </w:pPr>
      <w:r w:rsidRPr="002C10F6">
        <w:rPr>
          <w:rFonts w:ascii="Times New Roman" w:eastAsia="仿宋_GB2312" w:hAnsi="Times New Roman" w:hint="eastAsia"/>
          <w:b/>
          <w:bCs/>
          <w:sz w:val="44"/>
          <w:szCs w:val="44"/>
        </w:rPr>
        <w:t>成片开发方案（</w:t>
      </w:r>
      <w:r w:rsidRPr="002C10F6">
        <w:rPr>
          <w:rFonts w:ascii="Times New Roman" w:eastAsia="仿宋_GB2312" w:hAnsi="Times New Roman" w:hint="eastAsia"/>
          <w:b/>
          <w:bCs/>
          <w:sz w:val="44"/>
          <w:szCs w:val="44"/>
        </w:rPr>
        <w:t>01</w:t>
      </w:r>
      <w:r w:rsidRPr="002C10F6">
        <w:rPr>
          <w:rFonts w:ascii="Times New Roman" w:eastAsia="仿宋_GB2312" w:hAnsi="Times New Roman" w:hint="eastAsia"/>
          <w:b/>
          <w:bCs/>
          <w:sz w:val="44"/>
          <w:szCs w:val="44"/>
        </w:rPr>
        <w:t>方案）</w:t>
      </w:r>
    </w:p>
    <w:p w14:paraId="2D83D8D7" w14:textId="4828D041" w:rsidR="00CD7CD4" w:rsidRDefault="00054433" w:rsidP="00054433">
      <w:pPr>
        <w:spacing w:line="500" w:lineRule="exact"/>
        <w:ind w:firstLineChars="200" w:firstLine="640"/>
        <w:outlineLvl w:val="1"/>
        <w:rPr>
          <w:rFonts w:ascii="Times New Roman" w:eastAsia="黑体" w:hAnsi="Times New Roman"/>
          <w:bCs/>
          <w:sz w:val="32"/>
          <w:szCs w:val="32"/>
        </w:rPr>
      </w:pPr>
      <w:bookmarkStart w:id="0" w:name="_Toc61179717"/>
      <w:r>
        <w:rPr>
          <w:rFonts w:ascii="Times New Roman" w:eastAsia="黑体" w:hAnsi="Times New Roman"/>
          <w:bCs/>
          <w:sz w:val="32"/>
          <w:szCs w:val="32"/>
        </w:rPr>
        <w:t>一、编制依据</w:t>
      </w:r>
      <w:bookmarkEnd w:id="0"/>
    </w:p>
    <w:p w14:paraId="60CA2C2C" w14:textId="2ABC09F7" w:rsidR="00054433" w:rsidRDefault="00054433" w:rsidP="00054433">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t>依据</w:t>
      </w:r>
      <w:r w:rsidRPr="00054433">
        <w:rPr>
          <w:rFonts w:ascii="Times New Roman" w:eastAsia="仿宋_GB2312" w:hAnsi="Times New Roman" w:hint="eastAsia"/>
          <w:sz w:val="32"/>
          <w:szCs w:val="32"/>
        </w:rPr>
        <w:t>《中华人民共和国土地管理法》</w:t>
      </w:r>
      <w:r>
        <w:rPr>
          <w:rFonts w:ascii="Times New Roman" w:eastAsia="仿宋_GB2312" w:hAnsi="Times New Roman" w:hint="eastAsia"/>
          <w:sz w:val="32"/>
          <w:szCs w:val="32"/>
        </w:rPr>
        <w:t>、</w:t>
      </w:r>
      <w:r w:rsidRPr="00054433">
        <w:rPr>
          <w:rFonts w:ascii="Times New Roman" w:eastAsia="仿宋_GB2312" w:hAnsi="Times New Roman" w:hint="eastAsia"/>
          <w:sz w:val="32"/>
          <w:szCs w:val="32"/>
        </w:rPr>
        <w:t>《清流县域总体规划（</w:t>
      </w:r>
      <w:r w:rsidRPr="00054433">
        <w:rPr>
          <w:rFonts w:ascii="Times New Roman" w:eastAsia="仿宋_GB2312" w:hAnsi="Times New Roman" w:hint="eastAsia"/>
          <w:sz w:val="32"/>
          <w:szCs w:val="32"/>
        </w:rPr>
        <w:t>2012-2030</w:t>
      </w:r>
      <w:r w:rsidRPr="00054433">
        <w:rPr>
          <w:rFonts w:ascii="Times New Roman" w:eastAsia="仿宋_GB2312" w:hAnsi="Times New Roman" w:hint="eastAsia"/>
          <w:sz w:val="32"/>
          <w:szCs w:val="32"/>
        </w:rPr>
        <w:t>）》</w:t>
      </w:r>
      <w:r>
        <w:rPr>
          <w:rFonts w:ascii="Times New Roman" w:eastAsia="仿宋_GB2312" w:hAnsi="Times New Roman" w:hint="eastAsia"/>
          <w:sz w:val="32"/>
          <w:szCs w:val="32"/>
        </w:rPr>
        <w:t>、</w:t>
      </w:r>
      <w:r w:rsidR="00237C00" w:rsidRPr="00237C00">
        <w:rPr>
          <w:rFonts w:ascii="Times New Roman" w:eastAsia="仿宋_GB2312" w:hAnsi="Times New Roman" w:hint="eastAsia"/>
          <w:sz w:val="32"/>
          <w:szCs w:val="32"/>
        </w:rPr>
        <w:t>《清流县国民经济和社会发展第十四五年规划和二〇三五年远景目标纲要》</w:t>
      </w:r>
      <w:r w:rsidR="00237C00">
        <w:rPr>
          <w:rFonts w:ascii="Times New Roman" w:eastAsia="仿宋_GB2312" w:hAnsi="Times New Roman" w:hint="eastAsia"/>
          <w:sz w:val="32"/>
          <w:szCs w:val="32"/>
        </w:rPr>
        <w:t>、</w:t>
      </w:r>
      <w:r w:rsidRPr="00054433">
        <w:rPr>
          <w:rFonts w:ascii="Times New Roman" w:eastAsia="仿宋_GB2312" w:hAnsi="Times New Roman" w:hint="eastAsia"/>
          <w:sz w:val="32"/>
          <w:szCs w:val="32"/>
        </w:rPr>
        <w:t>《国土空间调查、规划、用途管制用地用海分类指南（试行）》、《福建省自然资源厅关于印发〈福建省土地征收成片开发方案报批实施细则（试行）〉的通知》（闽自然资发〔</w:t>
      </w:r>
      <w:r w:rsidRPr="00054433">
        <w:rPr>
          <w:rFonts w:ascii="Times New Roman" w:eastAsia="仿宋_GB2312" w:hAnsi="Times New Roman" w:hint="eastAsia"/>
          <w:sz w:val="32"/>
          <w:szCs w:val="32"/>
        </w:rPr>
        <w:t>2021</w:t>
      </w:r>
      <w:r w:rsidRPr="00054433">
        <w:rPr>
          <w:rFonts w:ascii="Times New Roman" w:eastAsia="仿宋_GB2312" w:hAnsi="Times New Roman" w:hint="eastAsia"/>
          <w:sz w:val="32"/>
          <w:szCs w:val="32"/>
        </w:rPr>
        <w:t>〕</w:t>
      </w:r>
      <w:r w:rsidRPr="00054433">
        <w:rPr>
          <w:rFonts w:ascii="Times New Roman" w:eastAsia="仿宋_GB2312" w:hAnsi="Times New Roman" w:hint="eastAsia"/>
          <w:sz w:val="32"/>
          <w:szCs w:val="32"/>
        </w:rPr>
        <w:t>3</w:t>
      </w:r>
      <w:r w:rsidRPr="00054433">
        <w:rPr>
          <w:rFonts w:ascii="Times New Roman" w:eastAsia="仿宋_GB2312" w:hAnsi="Times New Roman" w:hint="eastAsia"/>
          <w:sz w:val="32"/>
          <w:szCs w:val="32"/>
        </w:rPr>
        <w:t>号）、《福建省自然资源厅关于印发〈福建省土地征收成片开发方案编制参考指南（试行）〉的通知》（闽自然资发〔</w:t>
      </w:r>
      <w:r w:rsidRPr="00054433">
        <w:rPr>
          <w:rFonts w:ascii="Times New Roman" w:eastAsia="仿宋_GB2312" w:hAnsi="Times New Roman" w:hint="eastAsia"/>
          <w:sz w:val="32"/>
          <w:szCs w:val="32"/>
        </w:rPr>
        <w:t>2021</w:t>
      </w:r>
      <w:r w:rsidRPr="00054433">
        <w:rPr>
          <w:rFonts w:ascii="Times New Roman" w:eastAsia="仿宋_GB2312" w:hAnsi="Times New Roman" w:hint="eastAsia"/>
          <w:sz w:val="32"/>
          <w:szCs w:val="32"/>
        </w:rPr>
        <w:t>〕</w:t>
      </w:r>
      <w:r w:rsidRPr="00054433">
        <w:rPr>
          <w:rFonts w:ascii="Times New Roman" w:eastAsia="仿宋_GB2312" w:hAnsi="Times New Roman" w:hint="eastAsia"/>
          <w:sz w:val="32"/>
          <w:szCs w:val="32"/>
        </w:rPr>
        <w:t>6</w:t>
      </w:r>
      <w:r w:rsidRPr="00054433">
        <w:rPr>
          <w:rFonts w:ascii="Times New Roman" w:eastAsia="仿宋_GB2312" w:hAnsi="Times New Roman" w:hint="eastAsia"/>
          <w:sz w:val="32"/>
          <w:szCs w:val="32"/>
        </w:rPr>
        <w:t>号），编制《</w:t>
      </w:r>
      <w:r w:rsidR="002C10F6">
        <w:rPr>
          <w:rFonts w:ascii="Times New Roman" w:eastAsia="仿宋_GB2312" w:hAnsi="Times New Roman" w:hint="eastAsia"/>
          <w:sz w:val="32"/>
          <w:szCs w:val="32"/>
        </w:rPr>
        <w:t>清流县</w:t>
      </w:r>
      <w:r w:rsidR="002C10F6">
        <w:rPr>
          <w:rFonts w:ascii="Times New Roman" w:eastAsia="仿宋_GB2312" w:hAnsi="Times New Roman" w:hint="eastAsia"/>
          <w:sz w:val="32"/>
          <w:szCs w:val="32"/>
        </w:rPr>
        <w:t>2022</w:t>
      </w:r>
      <w:r w:rsidR="002C10F6">
        <w:rPr>
          <w:rFonts w:ascii="Times New Roman" w:eastAsia="仿宋_GB2312" w:hAnsi="Times New Roman" w:hint="eastAsia"/>
          <w:sz w:val="32"/>
          <w:szCs w:val="32"/>
        </w:rPr>
        <w:t>年度第六批次土地征收成片开发方案（</w:t>
      </w:r>
      <w:r w:rsidR="002C10F6">
        <w:rPr>
          <w:rFonts w:ascii="Times New Roman" w:eastAsia="仿宋_GB2312" w:hAnsi="Times New Roman" w:hint="eastAsia"/>
          <w:sz w:val="32"/>
          <w:szCs w:val="32"/>
        </w:rPr>
        <w:t>01</w:t>
      </w:r>
      <w:r w:rsidR="002C10F6">
        <w:rPr>
          <w:rFonts w:ascii="Times New Roman" w:eastAsia="仿宋_GB2312" w:hAnsi="Times New Roman" w:hint="eastAsia"/>
          <w:sz w:val="32"/>
          <w:szCs w:val="32"/>
        </w:rPr>
        <w:t>方案）</w:t>
      </w:r>
      <w:r w:rsidRPr="00054433">
        <w:rPr>
          <w:rFonts w:ascii="Times New Roman" w:eastAsia="仿宋_GB2312" w:hAnsi="Times New Roman" w:hint="eastAsia"/>
          <w:sz w:val="32"/>
          <w:szCs w:val="32"/>
        </w:rPr>
        <w:t>》。</w:t>
      </w:r>
    </w:p>
    <w:p w14:paraId="1A3D500D" w14:textId="77777777" w:rsidR="00C01B5D" w:rsidRDefault="00C01B5D" w:rsidP="00C01B5D">
      <w:pPr>
        <w:spacing w:line="500" w:lineRule="exact"/>
        <w:ind w:firstLineChars="200" w:firstLine="640"/>
        <w:outlineLvl w:val="1"/>
        <w:rPr>
          <w:rFonts w:ascii="Times New Roman" w:eastAsia="黑体" w:hAnsi="Times New Roman"/>
          <w:bCs/>
          <w:sz w:val="32"/>
          <w:szCs w:val="32"/>
        </w:rPr>
      </w:pPr>
      <w:bookmarkStart w:id="1" w:name="_Toc61613921"/>
      <w:bookmarkStart w:id="2" w:name="_Toc61179719"/>
      <w:r>
        <w:rPr>
          <w:rFonts w:ascii="Times New Roman" w:eastAsia="黑体" w:hAnsi="Times New Roman"/>
          <w:bCs/>
          <w:sz w:val="32"/>
          <w:szCs w:val="32"/>
        </w:rPr>
        <w:t>二、基本情况</w:t>
      </w:r>
      <w:bookmarkEnd w:id="1"/>
      <w:bookmarkEnd w:id="2"/>
    </w:p>
    <w:p w14:paraId="5AE2A7A6" w14:textId="77777777" w:rsidR="00E90064" w:rsidRPr="00E90064" w:rsidRDefault="00E90064" w:rsidP="00E90064">
      <w:pPr>
        <w:spacing w:line="360" w:lineRule="auto"/>
        <w:ind w:firstLineChars="200" w:firstLine="640"/>
        <w:contextualSpacing/>
        <w:rPr>
          <w:rFonts w:ascii="Times New Roman" w:eastAsia="仿宋_GB2312" w:hAnsi="Times New Roman"/>
          <w:sz w:val="32"/>
          <w:szCs w:val="32"/>
        </w:rPr>
      </w:pPr>
      <w:r w:rsidRPr="00E90064">
        <w:rPr>
          <w:rFonts w:ascii="Times New Roman" w:eastAsia="仿宋_GB2312" w:hAnsi="Times New Roman" w:hint="eastAsia"/>
          <w:sz w:val="32"/>
          <w:szCs w:val="32"/>
        </w:rPr>
        <w:t>本方案位于清流县城北部，清流供坊火车站货场西北侧。</w:t>
      </w:r>
    </w:p>
    <w:p w14:paraId="1AB12DF8" w14:textId="124587F0" w:rsidR="00C01B5D" w:rsidRPr="009F260B" w:rsidRDefault="009F260B" w:rsidP="00054433">
      <w:pPr>
        <w:pStyle w:val="a0"/>
        <w:ind w:firstLineChars="200" w:firstLine="640"/>
        <w:rPr>
          <w:rFonts w:ascii="Times New Roman" w:eastAsia="仿宋_GB2312" w:hAnsi="Times New Roman"/>
          <w:sz w:val="32"/>
          <w:szCs w:val="32"/>
        </w:rPr>
      </w:pPr>
      <w:r w:rsidRPr="009F260B">
        <w:rPr>
          <w:rFonts w:ascii="Times New Roman" w:eastAsia="仿宋_GB2312" w:hAnsi="Times New Roman"/>
          <w:sz w:val="32"/>
          <w:szCs w:val="32"/>
        </w:rPr>
        <w:t>本方案成片开发范围总面积</w:t>
      </w:r>
      <w:r w:rsidRPr="009F260B">
        <w:rPr>
          <w:rFonts w:ascii="Times New Roman" w:eastAsia="仿宋_GB2312" w:hAnsi="Times New Roman"/>
          <w:sz w:val="32"/>
          <w:szCs w:val="32"/>
        </w:rPr>
        <w:t>12.</w:t>
      </w:r>
      <w:r w:rsidR="00A128F8">
        <w:rPr>
          <w:rFonts w:ascii="Times New Roman" w:eastAsia="仿宋_GB2312" w:hAnsi="Times New Roman"/>
          <w:sz w:val="32"/>
          <w:szCs w:val="32"/>
        </w:rPr>
        <w:t>1872</w:t>
      </w:r>
      <w:r w:rsidRPr="009F260B">
        <w:rPr>
          <w:rFonts w:ascii="Times New Roman" w:eastAsia="仿宋_GB2312" w:hAnsi="Times New Roman"/>
          <w:sz w:val="32"/>
          <w:szCs w:val="32"/>
        </w:rPr>
        <w:t>公顷</w:t>
      </w:r>
      <w:r w:rsidRPr="009F260B">
        <w:rPr>
          <w:rFonts w:ascii="Times New Roman" w:eastAsia="仿宋_GB2312" w:hAnsi="Times New Roman" w:hint="eastAsia"/>
          <w:sz w:val="32"/>
          <w:szCs w:val="32"/>
        </w:rPr>
        <w:t>，其中：农用地</w:t>
      </w:r>
      <w:r w:rsidRPr="009F260B">
        <w:rPr>
          <w:rFonts w:ascii="Times New Roman" w:eastAsia="仿宋_GB2312" w:hAnsi="Times New Roman"/>
          <w:sz w:val="32"/>
          <w:szCs w:val="32"/>
        </w:rPr>
        <w:t>12.</w:t>
      </w:r>
      <w:r w:rsidR="00BE0045">
        <w:rPr>
          <w:rFonts w:ascii="Times New Roman" w:eastAsia="仿宋_GB2312" w:hAnsi="Times New Roman"/>
          <w:sz w:val="32"/>
          <w:szCs w:val="32"/>
        </w:rPr>
        <w:t>1192</w:t>
      </w:r>
      <w:r w:rsidRPr="009F260B">
        <w:rPr>
          <w:rFonts w:ascii="Times New Roman" w:eastAsia="仿宋_GB2312" w:hAnsi="Times New Roman" w:hint="eastAsia"/>
          <w:sz w:val="32"/>
          <w:szCs w:val="32"/>
        </w:rPr>
        <w:t>公顷（耕地</w:t>
      </w:r>
      <w:r w:rsidRPr="009F260B">
        <w:rPr>
          <w:rFonts w:ascii="Times New Roman" w:eastAsia="仿宋_GB2312" w:hAnsi="Times New Roman" w:hint="eastAsia"/>
          <w:sz w:val="32"/>
          <w:szCs w:val="32"/>
        </w:rPr>
        <w:t>0.5</w:t>
      </w:r>
      <w:r w:rsidR="00BE0045">
        <w:rPr>
          <w:rFonts w:ascii="Times New Roman" w:eastAsia="仿宋_GB2312" w:hAnsi="Times New Roman"/>
          <w:sz w:val="32"/>
          <w:szCs w:val="32"/>
        </w:rPr>
        <w:t>864</w:t>
      </w:r>
      <w:r w:rsidRPr="009F260B">
        <w:rPr>
          <w:rFonts w:ascii="Times New Roman" w:eastAsia="仿宋_GB2312" w:hAnsi="Times New Roman" w:hint="eastAsia"/>
          <w:sz w:val="32"/>
          <w:szCs w:val="32"/>
        </w:rPr>
        <w:t>公顷），建设用地</w:t>
      </w:r>
      <w:r w:rsidRPr="009F260B">
        <w:rPr>
          <w:rFonts w:ascii="Times New Roman" w:eastAsia="仿宋_GB2312" w:hAnsi="Times New Roman" w:hint="eastAsia"/>
          <w:sz w:val="32"/>
          <w:szCs w:val="32"/>
        </w:rPr>
        <w:t>0</w:t>
      </w:r>
      <w:r w:rsidRPr="009F260B">
        <w:rPr>
          <w:rFonts w:ascii="Times New Roman" w:eastAsia="仿宋_GB2312" w:hAnsi="Times New Roman"/>
          <w:sz w:val="32"/>
          <w:szCs w:val="32"/>
        </w:rPr>
        <w:t>.</w:t>
      </w:r>
      <w:r w:rsidRPr="009F260B">
        <w:rPr>
          <w:rFonts w:ascii="Times New Roman" w:eastAsia="仿宋_GB2312" w:hAnsi="Times New Roman" w:hint="eastAsia"/>
          <w:sz w:val="32"/>
          <w:szCs w:val="32"/>
        </w:rPr>
        <w:t>0</w:t>
      </w:r>
      <w:r w:rsidR="00BE0045">
        <w:rPr>
          <w:rFonts w:ascii="Times New Roman" w:eastAsia="仿宋_GB2312" w:hAnsi="Times New Roman"/>
          <w:sz w:val="32"/>
          <w:szCs w:val="32"/>
        </w:rPr>
        <w:t>024</w:t>
      </w:r>
      <w:r w:rsidRPr="009F260B">
        <w:rPr>
          <w:rFonts w:ascii="Times New Roman" w:eastAsia="仿宋_GB2312" w:hAnsi="Times New Roman" w:hint="eastAsia"/>
          <w:sz w:val="32"/>
          <w:szCs w:val="32"/>
        </w:rPr>
        <w:t>公顷，未利用地</w:t>
      </w:r>
      <w:r w:rsidRPr="009F260B">
        <w:rPr>
          <w:rFonts w:ascii="Times New Roman" w:eastAsia="仿宋_GB2312" w:hAnsi="Times New Roman" w:hint="eastAsia"/>
          <w:sz w:val="32"/>
          <w:szCs w:val="32"/>
        </w:rPr>
        <w:t>0</w:t>
      </w:r>
      <w:r w:rsidRPr="009F260B">
        <w:rPr>
          <w:rFonts w:ascii="Times New Roman" w:eastAsia="仿宋_GB2312" w:hAnsi="Times New Roman"/>
          <w:sz w:val="32"/>
          <w:szCs w:val="32"/>
        </w:rPr>
        <w:t>.0</w:t>
      </w:r>
      <w:r w:rsidR="00BE0045">
        <w:rPr>
          <w:rFonts w:ascii="Times New Roman" w:eastAsia="仿宋_GB2312" w:hAnsi="Times New Roman"/>
          <w:sz w:val="32"/>
          <w:szCs w:val="32"/>
        </w:rPr>
        <w:t>656</w:t>
      </w:r>
      <w:r w:rsidRPr="009F260B">
        <w:rPr>
          <w:rFonts w:ascii="Times New Roman" w:eastAsia="仿宋_GB2312" w:hAnsi="Times New Roman" w:hint="eastAsia"/>
          <w:sz w:val="32"/>
          <w:szCs w:val="32"/>
        </w:rPr>
        <w:t>公顷。本方案涉及清流县龙津镇俞坊村</w:t>
      </w:r>
      <w:r>
        <w:rPr>
          <w:rFonts w:ascii="Times New Roman" w:eastAsia="仿宋_GB2312" w:hAnsi="Times New Roman" w:hint="eastAsia"/>
          <w:sz w:val="32"/>
          <w:szCs w:val="32"/>
        </w:rPr>
        <w:t>和</w:t>
      </w:r>
      <w:r w:rsidRPr="009F260B">
        <w:rPr>
          <w:rFonts w:ascii="Times New Roman" w:eastAsia="仿宋_GB2312" w:hAnsi="Times New Roman" w:hint="eastAsia"/>
          <w:sz w:val="32"/>
          <w:szCs w:val="32"/>
        </w:rPr>
        <w:t>供坊村</w:t>
      </w:r>
      <w:r>
        <w:rPr>
          <w:rFonts w:ascii="Times New Roman" w:eastAsia="仿宋_GB2312" w:hAnsi="Times New Roman" w:hint="eastAsia"/>
          <w:sz w:val="32"/>
          <w:szCs w:val="32"/>
        </w:rPr>
        <w:t>。</w:t>
      </w:r>
      <w:r w:rsidRPr="009F260B">
        <w:rPr>
          <w:rFonts w:ascii="Times New Roman" w:eastAsia="仿宋_GB2312" w:hAnsi="Times New Roman" w:hint="eastAsia"/>
          <w:sz w:val="32"/>
          <w:szCs w:val="32"/>
        </w:rPr>
        <w:t>具体见附表土地利用现状及权属统计表、附图位置示意图。</w:t>
      </w:r>
    </w:p>
    <w:p w14:paraId="2FA0AABA" w14:textId="77777777" w:rsidR="00083FF7" w:rsidRDefault="00083FF7" w:rsidP="00083FF7">
      <w:pPr>
        <w:spacing w:line="500" w:lineRule="exact"/>
        <w:ind w:firstLineChars="200" w:firstLine="640"/>
        <w:outlineLvl w:val="1"/>
        <w:rPr>
          <w:rFonts w:ascii="Times New Roman" w:eastAsia="黑体" w:hAnsi="Times New Roman"/>
          <w:bCs/>
          <w:sz w:val="32"/>
          <w:szCs w:val="32"/>
        </w:rPr>
      </w:pPr>
      <w:bookmarkStart w:id="3" w:name="_Toc61179724"/>
      <w:bookmarkStart w:id="4" w:name="_Toc61613922"/>
      <w:r>
        <w:rPr>
          <w:rFonts w:ascii="Times New Roman" w:eastAsia="黑体" w:hAnsi="Times New Roman"/>
          <w:bCs/>
          <w:sz w:val="32"/>
          <w:szCs w:val="32"/>
        </w:rPr>
        <w:t>三、必要性</w:t>
      </w:r>
      <w:bookmarkEnd w:id="3"/>
      <w:r>
        <w:rPr>
          <w:rFonts w:ascii="Times New Roman" w:eastAsia="黑体" w:hAnsi="Times New Roman"/>
          <w:bCs/>
          <w:sz w:val="32"/>
          <w:szCs w:val="32"/>
        </w:rPr>
        <w:t>分析</w:t>
      </w:r>
      <w:bookmarkEnd w:id="4"/>
    </w:p>
    <w:p w14:paraId="647D21E5" w14:textId="417A5004" w:rsidR="00054433" w:rsidRDefault="00083FF7" w:rsidP="00054433">
      <w:pPr>
        <w:pStyle w:val="a0"/>
        <w:ind w:firstLineChars="200" w:firstLine="640"/>
      </w:pPr>
      <w:r>
        <w:rPr>
          <w:rFonts w:ascii="Times New Roman" w:eastAsia="仿宋_GB2312" w:hAnsi="Times New Roman" w:hint="eastAsia"/>
          <w:sz w:val="32"/>
          <w:szCs w:val="32"/>
        </w:rPr>
        <w:t>大力推进产业发展配套的需要：</w:t>
      </w:r>
      <w:r>
        <w:rPr>
          <w:rFonts w:ascii="Times New Roman" w:eastAsia="仿宋_GB2312" w:hAnsi="Times New Roman" w:hint="eastAsia"/>
          <w:sz w:val="32"/>
          <w:szCs w:val="32"/>
          <w:lang w:val="de-DE"/>
        </w:rPr>
        <w:t>通过实施成片开发，</w:t>
      </w:r>
      <w:r w:rsidR="004329CC">
        <w:rPr>
          <w:rFonts w:ascii="Times New Roman" w:eastAsia="仿宋_GB2312" w:hAnsi="Times New Roman" w:hint="eastAsia"/>
          <w:sz w:val="32"/>
          <w:szCs w:val="32"/>
          <w:lang w:val="de-DE"/>
        </w:rPr>
        <w:t>发展清流县物流产业，实现与现代化工业产业相匹配的产业配</w:t>
      </w:r>
      <w:r w:rsidR="004329CC">
        <w:rPr>
          <w:rFonts w:ascii="Times New Roman" w:eastAsia="仿宋_GB2312" w:hAnsi="Times New Roman" w:hint="eastAsia"/>
          <w:sz w:val="32"/>
          <w:szCs w:val="32"/>
          <w:lang w:val="de-DE"/>
        </w:rPr>
        <w:lastRenderedPageBreak/>
        <w:t>套</w:t>
      </w:r>
      <w:r w:rsidR="00C01953">
        <w:rPr>
          <w:rFonts w:ascii="Times New Roman" w:eastAsia="仿宋_GB2312" w:hAnsi="Times New Roman" w:hint="eastAsia"/>
          <w:sz w:val="32"/>
          <w:szCs w:val="32"/>
          <w:lang w:val="de-DE"/>
        </w:rPr>
        <w:t>。</w:t>
      </w:r>
      <w:r w:rsidR="00C01953" w:rsidRPr="00C01953">
        <w:rPr>
          <w:rFonts w:ascii="Times New Roman" w:eastAsia="仿宋_GB2312" w:hAnsi="Times New Roman" w:hint="eastAsia"/>
          <w:sz w:val="32"/>
          <w:szCs w:val="32"/>
          <w:lang w:val="de-DE"/>
        </w:rPr>
        <w:t>大力发展现代物流业的需要</w:t>
      </w:r>
      <w:r w:rsidR="00C01953">
        <w:rPr>
          <w:rFonts w:ascii="Times New Roman" w:eastAsia="仿宋_GB2312" w:hAnsi="Times New Roman" w:hint="eastAsia"/>
          <w:sz w:val="32"/>
          <w:szCs w:val="32"/>
          <w:lang w:val="de-DE"/>
        </w:rPr>
        <w:t>：</w:t>
      </w:r>
      <w:r w:rsidR="00296CCA">
        <w:rPr>
          <w:rFonts w:ascii="Times New Roman" w:eastAsia="仿宋_GB2312" w:hAnsi="Times New Roman" w:hint="eastAsia"/>
          <w:sz w:val="32"/>
          <w:szCs w:val="32"/>
          <w:lang w:val="de-DE"/>
        </w:rPr>
        <w:t>为促进生产性服务业向专业化和价值链高端</w:t>
      </w:r>
      <w:r w:rsidR="00A10E66">
        <w:rPr>
          <w:rFonts w:ascii="Times New Roman" w:eastAsia="仿宋_GB2312" w:hAnsi="Times New Roman" w:hint="eastAsia"/>
          <w:sz w:val="32"/>
          <w:szCs w:val="32"/>
          <w:lang w:val="de-DE"/>
        </w:rPr>
        <w:t>延</w:t>
      </w:r>
      <w:r w:rsidR="00FD32F8">
        <w:rPr>
          <w:rFonts w:ascii="Times New Roman" w:eastAsia="仿宋_GB2312" w:hAnsi="Times New Roman" w:hint="eastAsia"/>
          <w:sz w:val="32"/>
          <w:szCs w:val="32"/>
          <w:lang w:val="de-DE"/>
        </w:rPr>
        <w:t>伸</w:t>
      </w:r>
      <w:r w:rsidR="00296CCA">
        <w:rPr>
          <w:rFonts w:ascii="Times New Roman" w:eastAsia="仿宋_GB2312" w:hAnsi="Times New Roman" w:hint="eastAsia"/>
          <w:sz w:val="32"/>
          <w:szCs w:val="32"/>
          <w:lang w:val="de-DE"/>
        </w:rPr>
        <w:t>，构筑现代服务业综合体系，通过建设现代综合物流园，提升物流产业的安全性和专业性，实现构建现代物流发展体系。</w:t>
      </w:r>
    </w:p>
    <w:p w14:paraId="09615974" w14:textId="77777777" w:rsidR="00391EAE" w:rsidRDefault="00391EAE" w:rsidP="00391EAE">
      <w:pPr>
        <w:spacing w:line="500" w:lineRule="exact"/>
        <w:ind w:firstLineChars="200" w:firstLine="640"/>
        <w:outlineLvl w:val="1"/>
        <w:rPr>
          <w:rFonts w:ascii="Times New Roman" w:eastAsia="黑体" w:hAnsi="Times New Roman"/>
          <w:bCs/>
          <w:sz w:val="32"/>
          <w:szCs w:val="32"/>
        </w:rPr>
      </w:pPr>
      <w:bookmarkStart w:id="5" w:name="_Toc61613923"/>
      <w:r>
        <w:rPr>
          <w:rFonts w:ascii="Times New Roman" w:eastAsia="黑体" w:hAnsi="Times New Roman"/>
          <w:bCs/>
          <w:sz w:val="32"/>
          <w:szCs w:val="32"/>
        </w:rPr>
        <w:t>四、主要用途、实现功能及公益性用地比例</w:t>
      </w:r>
      <w:bookmarkEnd w:id="5"/>
    </w:p>
    <w:p w14:paraId="427CDF03" w14:textId="666B1AE4" w:rsidR="00D72CF2" w:rsidRDefault="00D72CF2" w:rsidP="00D72CF2">
      <w:pPr>
        <w:spacing w:line="360" w:lineRule="auto"/>
        <w:ind w:firstLineChars="200" w:firstLine="640"/>
        <w:contextualSpacing/>
        <w:rPr>
          <w:rFonts w:ascii="Times New Roman" w:eastAsia="仿宋_GB2312" w:hAnsi="Times New Roman"/>
          <w:sz w:val="32"/>
          <w:szCs w:val="32"/>
          <w:lang w:val="de-DE"/>
        </w:rPr>
      </w:pPr>
      <w:r w:rsidRPr="00D72CF2">
        <w:rPr>
          <w:rFonts w:ascii="Times New Roman" w:eastAsia="仿宋_GB2312" w:hAnsi="Times New Roman" w:hint="eastAsia"/>
          <w:sz w:val="32"/>
          <w:szCs w:val="32"/>
          <w:lang w:val="de-DE"/>
        </w:rPr>
        <w:t>本方案用地总面积为</w:t>
      </w:r>
      <w:r w:rsidRPr="00D72CF2">
        <w:rPr>
          <w:rFonts w:ascii="Times New Roman" w:eastAsia="仿宋_GB2312" w:hAnsi="Times New Roman" w:hint="eastAsia"/>
          <w:sz w:val="32"/>
          <w:szCs w:val="32"/>
          <w:lang w:val="de-DE"/>
        </w:rPr>
        <w:t>12.</w:t>
      </w:r>
      <w:r w:rsidR="00D92815">
        <w:rPr>
          <w:rFonts w:ascii="Times New Roman" w:eastAsia="仿宋_GB2312" w:hAnsi="Times New Roman"/>
          <w:sz w:val="32"/>
          <w:szCs w:val="32"/>
          <w:lang w:val="de-DE"/>
        </w:rPr>
        <w:t>1872</w:t>
      </w:r>
      <w:r w:rsidRPr="00D72CF2">
        <w:rPr>
          <w:rFonts w:ascii="Times New Roman" w:eastAsia="仿宋_GB2312" w:hAnsi="Times New Roman" w:hint="eastAsia"/>
          <w:sz w:val="32"/>
          <w:szCs w:val="32"/>
          <w:lang w:val="de-DE"/>
        </w:rPr>
        <w:t>公顷，主要用途是建设清流县现代物流产业园，推动清流县物流产业高速高效发展，打造区域性的现代化物流中心。其中，物流仓储用地</w:t>
      </w:r>
      <w:r w:rsidRPr="00D72CF2">
        <w:rPr>
          <w:rFonts w:ascii="Times New Roman" w:eastAsia="仿宋_GB2312" w:hAnsi="Times New Roman" w:hint="eastAsia"/>
          <w:sz w:val="32"/>
          <w:szCs w:val="32"/>
          <w:lang w:val="de-DE"/>
        </w:rPr>
        <w:t>7.</w:t>
      </w:r>
      <w:r w:rsidR="00482BAA">
        <w:rPr>
          <w:rFonts w:ascii="Times New Roman" w:eastAsia="仿宋_GB2312" w:hAnsi="Times New Roman"/>
          <w:sz w:val="32"/>
          <w:szCs w:val="32"/>
          <w:lang w:val="de-DE"/>
        </w:rPr>
        <w:t>2800</w:t>
      </w:r>
      <w:r w:rsidRPr="00D72CF2">
        <w:rPr>
          <w:rFonts w:ascii="Times New Roman" w:eastAsia="仿宋_GB2312" w:hAnsi="Times New Roman" w:hint="eastAsia"/>
          <w:sz w:val="32"/>
          <w:szCs w:val="32"/>
          <w:lang w:val="de-DE"/>
        </w:rPr>
        <w:t>公顷，实现物流运输、仓库储藏的功能；城镇道路用地</w:t>
      </w:r>
      <w:r w:rsidRPr="00D72CF2">
        <w:rPr>
          <w:rFonts w:ascii="Times New Roman" w:eastAsia="仿宋_GB2312" w:hAnsi="Times New Roman" w:hint="eastAsia"/>
          <w:sz w:val="32"/>
          <w:szCs w:val="32"/>
          <w:lang w:val="de-DE"/>
        </w:rPr>
        <w:t>2.2</w:t>
      </w:r>
      <w:r w:rsidR="00F144C9">
        <w:rPr>
          <w:rFonts w:ascii="Times New Roman" w:eastAsia="仿宋_GB2312" w:hAnsi="Times New Roman"/>
          <w:sz w:val="32"/>
          <w:szCs w:val="32"/>
          <w:lang w:val="de-DE"/>
        </w:rPr>
        <w:t>610</w:t>
      </w:r>
      <w:r w:rsidRPr="00D72CF2">
        <w:rPr>
          <w:rFonts w:ascii="Times New Roman" w:eastAsia="仿宋_GB2312" w:hAnsi="Times New Roman" w:hint="eastAsia"/>
          <w:sz w:val="32"/>
          <w:szCs w:val="32"/>
          <w:lang w:val="de-DE"/>
        </w:rPr>
        <w:t>公顷，实现出行交通、物流运输以及消防通道的功能；交通场站用地</w:t>
      </w:r>
      <w:r w:rsidRPr="00D72CF2">
        <w:rPr>
          <w:rFonts w:ascii="Times New Roman" w:eastAsia="仿宋_GB2312" w:hAnsi="Times New Roman" w:hint="eastAsia"/>
          <w:sz w:val="32"/>
          <w:szCs w:val="32"/>
          <w:lang w:val="de-DE"/>
        </w:rPr>
        <w:t>2.5084</w:t>
      </w:r>
      <w:r w:rsidRPr="00D72CF2">
        <w:rPr>
          <w:rFonts w:ascii="Times New Roman" w:eastAsia="仿宋_GB2312" w:hAnsi="Times New Roman" w:hint="eastAsia"/>
          <w:sz w:val="32"/>
          <w:szCs w:val="32"/>
          <w:lang w:val="de-DE"/>
        </w:rPr>
        <w:t>公顷，实现社会车辆停放的功能；防护绿地</w:t>
      </w:r>
      <w:r w:rsidRPr="00D72CF2">
        <w:rPr>
          <w:rFonts w:ascii="Times New Roman" w:eastAsia="仿宋_GB2312" w:hAnsi="Times New Roman" w:hint="eastAsia"/>
          <w:sz w:val="32"/>
          <w:szCs w:val="32"/>
          <w:lang w:val="de-DE"/>
        </w:rPr>
        <w:t>0.1017</w:t>
      </w:r>
      <w:r w:rsidRPr="00D72CF2">
        <w:rPr>
          <w:rFonts w:ascii="Times New Roman" w:eastAsia="仿宋_GB2312" w:hAnsi="Times New Roman" w:hint="eastAsia"/>
          <w:sz w:val="32"/>
          <w:szCs w:val="32"/>
          <w:lang w:val="de-DE"/>
        </w:rPr>
        <w:t>公顷，实现改善环境、美化景观的功能；公园绿地</w:t>
      </w:r>
      <w:r w:rsidRPr="00D72CF2">
        <w:rPr>
          <w:rFonts w:ascii="Times New Roman" w:eastAsia="仿宋_GB2312" w:hAnsi="Times New Roman" w:hint="eastAsia"/>
          <w:sz w:val="32"/>
          <w:szCs w:val="32"/>
          <w:lang w:val="de-DE"/>
        </w:rPr>
        <w:t>0.0</w:t>
      </w:r>
      <w:r w:rsidR="00B834B1">
        <w:rPr>
          <w:rFonts w:ascii="Times New Roman" w:eastAsia="仿宋_GB2312" w:hAnsi="Times New Roman"/>
          <w:sz w:val="32"/>
          <w:szCs w:val="32"/>
          <w:lang w:val="de-DE"/>
        </w:rPr>
        <w:t>361</w:t>
      </w:r>
      <w:r w:rsidRPr="00D72CF2">
        <w:rPr>
          <w:rFonts w:ascii="Times New Roman" w:eastAsia="仿宋_GB2312" w:hAnsi="Times New Roman" w:hint="eastAsia"/>
          <w:sz w:val="32"/>
          <w:szCs w:val="32"/>
          <w:lang w:val="de-DE"/>
        </w:rPr>
        <w:t>公顷，实现绿化环境，游憩公共空间的功能。</w:t>
      </w:r>
    </w:p>
    <w:p w14:paraId="26CD16FB" w14:textId="749931D3" w:rsidR="002F168E" w:rsidRPr="002F168E" w:rsidRDefault="002F168E" w:rsidP="002F168E">
      <w:pPr>
        <w:pStyle w:val="a0"/>
        <w:ind w:firstLineChars="200" w:firstLine="640"/>
        <w:rPr>
          <w:rFonts w:ascii="Times New Roman" w:eastAsia="仿宋_GB2312" w:hAnsi="Times New Roman"/>
          <w:sz w:val="32"/>
          <w:szCs w:val="32"/>
          <w:lang w:val="de-DE"/>
        </w:rPr>
      </w:pPr>
      <w:r w:rsidRPr="002F168E">
        <w:rPr>
          <w:rFonts w:ascii="Times New Roman" w:eastAsia="仿宋_GB2312" w:hAnsi="Times New Roman" w:hint="eastAsia"/>
          <w:sz w:val="32"/>
          <w:szCs w:val="32"/>
          <w:lang w:val="de-DE"/>
        </w:rPr>
        <w:t>公益性用地包含城镇道路用地、交通场站用地、防护绿地、和公园绿地，合计</w:t>
      </w:r>
      <w:r w:rsidRPr="002F168E">
        <w:rPr>
          <w:rFonts w:ascii="Times New Roman" w:eastAsia="仿宋_GB2312" w:hAnsi="Times New Roman" w:hint="eastAsia"/>
          <w:sz w:val="32"/>
          <w:szCs w:val="32"/>
          <w:lang w:val="de-DE"/>
        </w:rPr>
        <w:t>4.90</w:t>
      </w:r>
      <w:r w:rsidR="008A3528">
        <w:rPr>
          <w:rFonts w:ascii="Times New Roman" w:eastAsia="仿宋_GB2312" w:hAnsi="Times New Roman"/>
          <w:sz w:val="32"/>
          <w:szCs w:val="32"/>
          <w:lang w:val="de-DE"/>
        </w:rPr>
        <w:t>72</w:t>
      </w:r>
      <w:r w:rsidRPr="002F168E">
        <w:rPr>
          <w:rFonts w:ascii="Times New Roman" w:eastAsia="仿宋_GB2312" w:hAnsi="Times New Roman" w:hint="eastAsia"/>
          <w:sz w:val="32"/>
          <w:szCs w:val="32"/>
          <w:lang w:val="de-DE"/>
        </w:rPr>
        <w:t>公顷，占用地总面积的</w:t>
      </w:r>
      <w:r w:rsidRPr="002F168E">
        <w:rPr>
          <w:rFonts w:ascii="Times New Roman" w:eastAsia="仿宋_GB2312" w:hAnsi="Times New Roman" w:hint="eastAsia"/>
          <w:sz w:val="32"/>
          <w:szCs w:val="32"/>
          <w:lang w:val="de-DE"/>
        </w:rPr>
        <w:t>40.</w:t>
      </w:r>
      <w:r w:rsidR="003730C4">
        <w:rPr>
          <w:rFonts w:ascii="Times New Roman" w:eastAsia="仿宋_GB2312" w:hAnsi="Times New Roman"/>
          <w:sz w:val="32"/>
          <w:szCs w:val="32"/>
          <w:lang w:val="de-DE"/>
        </w:rPr>
        <w:t>27</w:t>
      </w:r>
      <w:r w:rsidRPr="002F168E">
        <w:rPr>
          <w:rFonts w:ascii="Times New Roman" w:eastAsia="仿宋_GB2312" w:hAnsi="Times New Roman" w:hint="eastAsia"/>
          <w:sz w:val="32"/>
          <w:szCs w:val="32"/>
          <w:lang w:val="de-DE"/>
        </w:rPr>
        <w:t>%</w:t>
      </w:r>
      <w:r w:rsidRPr="002F168E">
        <w:rPr>
          <w:rFonts w:ascii="Times New Roman" w:eastAsia="仿宋_GB2312" w:hAnsi="Times New Roman" w:hint="eastAsia"/>
          <w:sz w:val="32"/>
          <w:szCs w:val="32"/>
          <w:lang w:val="de-DE"/>
        </w:rPr>
        <w:t>，符合闽自然资发〔</w:t>
      </w:r>
      <w:r w:rsidRPr="002F168E">
        <w:rPr>
          <w:rFonts w:ascii="Times New Roman" w:eastAsia="仿宋_GB2312" w:hAnsi="Times New Roman" w:hint="eastAsia"/>
          <w:sz w:val="32"/>
          <w:szCs w:val="32"/>
          <w:lang w:val="de-DE"/>
        </w:rPr>
        <w:t>2021</w:t>
      </w:r>
      <w:r w:rsidRPr="002F168E">
        <w:rPr>
          <w:rFonts w:ascii="Times New Roman" w:eastAsia="仿宋_GB2312" w:hAnsi="Times New Roman" w:hint="eastAsia"/>
          <w:sz w:val="32"/>
          <w:szCs w:val="32"/>
          <w:lang w:val="de-DE"/>
        </w:rPr>
        <w:t>〕</w:t>
      </w:r>
      <w:r w:rsidRPr="002F168E">
        <w:rPr>
          <w:rFonts w:ascii="Times New Roman" w:eastAsia="仿宋_GB2312" w:hAnsi="Times New Roman" w:hint="eastAsia"/>
          <w:sz w:val="32"/>
          <w:szCs w:val="32"/>
          <w:lang w:val="de-DE"/>
        </w:rPr>
        <w:t>3</w:t>
      </w:r>
      <w:r w:rsidRPr="002F168E">
        <w:rPr>
          <w:rFonts w:ascii="Times New Roman" w:eastAsia="仿宋_GB2312" w:hAnsi="Times New Roman" w:hint="eastAsia"/>
          <w:sz w:val="32"/>
          <w:szCs w:val="32"/>
          <w:lang w:val="de-DE"/>
        </w:rPr>
        <w:t>号文的规定。</w:t>
      </w:r>
    </w:p>
    <w:p w14:paraId="31CC03BF" w14:textId="77777777" w:rsidR="00BE1F40" w:rsidRDefault="00BE1F40" w:rsidP="00BE1F40">
      <w:pPr>
        <w:spacing w:line="500" w:lineRule="exact"/>
        <w:ind w:firstLineChars="200" w:firstLine="640"/>
        <w:outlineLvl w:val="1"/>
        <w:rPr>
          <w:rFonts w:ascii="Times New Roman" w:eastAsia="黑体" w:hAnsi="Times New Roman"/>
          <w:bCs/>
          <w:sz w:val="32"/>
          <w:szCs w:val="32"/>
        </w:rPr>
      </w:pPr>
      <w:r>
        <w:rPr>
          <w:rFonts w:ascii="Times New Roman" w:eastAsia="黑体" w:hAnsi="Times New Roman"/>
          <w:bCs/>
          <w:sz w:val="32"/>
          <w:szCs w:val="32"/>
        </w:rPr>
        <w:t>五、实施计划</w:t>
      </w:r>
    </w:p>
    <w:p w14:paraId="6578C6AF" w14:textId="2CF136E4" w:rsidR="00054433" w:rsidRDefault="00BE1F40" w:rsidP="00BE1F40">
      <w:pPr>
        <w:pStyle w:val="a0"/>
        <w:ind w:firstLineChars="200" w:firstLine="640"/>
        <w:rPr>
          <w:rFonts w:ascii="Times New Roman" w:eastAsia="仿宋_GB2312" w:hAnsi="Times New Roman"/>
          <w:sz w:val="32"/>
          <w:szCs w:val="32"/>
          <w:lang w:val="de-DE"/>
        </w:rPr>
      </w:pPr>
      <w:r w:rsidRPr="00BE1F40">
        <w:rPr>
          <w:rFonts w:ascii="Times New Roman" w:eastAsia="仿宋_GB2312" w:hAnsi="Times New Roman" w:hint="eastAsia"/>
          <w:sz w:val="32"/>
          <w:szCs w:val="32"/>
          <w:lang w:val="de-DE"/>
        </w:rPr>
        <w:t>本方案用地总面积</w:t>
      </w:r>
      <w:r w:rsidRPr="00BE1F40">
        <w:rPr>
          <w:rFonts w:ascii="Times New Roman" w:eastAsia="仿宋_GB2312" w:hAnsi="Times New Roman" w:hint="eastAsia"/>
          <w:sz w:val="32"/>
          <w:szCs w:val="32"/>
          <w:lang w:val="de-DE"/>
        </w:rPr>
        <w:t>12.</w:t>
      </w:r>
      <w:r w:rsidR="00A42123">
        <w:rPr>
          <w:rFonts w:ascii="Times New Roman" w:eastAsia="仿宋_GB2312" w:hAnsi="Times New Roman"/>
          <w:sz w:val="32"/>
          <w:szCs w:val="32"/>
          <w:lang w:val="de-DE"/>
        </w:rPr>
        <w:t>1872</w:t>
      </w:r>
      <w:r w:rsidRPr="00BE1F40">
        <w:rPr>
          <w:rFonts w:ascii="Times New Roman" w:eastAsia="仿宋_GB2312" w:hAnsi="Times New Roman" w:hint="eastAsia"/>
          <w:sz w:val="32"/>
          <w:szCs w:val="32"/>
          <w:lang w:val="de-DE"/>
        </w:rPr>
        <w:t>公顷，拟安排实施项目面积为</w:t>
      </w:r>
      <w:r w:rsidRPr="00BE1F40">
        <w:rPr>
          <w:rFonts w:ascii="Times New Roman" w:eastAsia="仿宋_GB2312" w:hAnsi="Times New Roman" w:hint="eastAsia"/>
          <w:sz w:val="32"/>
          <w:szCs w:val="32"/>
          <w:lang w:val="de-DE"/>
        </w:rPr>
        <w:t>12.</w:t>
      </w:r>
      <w:r w:rsidR="00A42123">
        <w:rPr>
          <w:rFonts w:ascii="Times New Roman" w:eastAsia="仿宋_GB2312" w:hAnsi="Times New Roman"/>
          <w:sz w:val="32"/>
          <w:szCs w:val="32"/>
          <w:lang w:val="de-DE"/>
        </w:rPr>
        <w:t>1872</w:t>
      </w:r>
      <w:r w:rsidRPr="00BE1F40">
        <w:rPr>
          <w:rFonts w:ascii="Times New Roman" w:eastAsia="仿宋_GB2312" w:hAnsi="Times New Roman" w:hint="eastAsia"/>
          <w:sz w:val="32"/>
          <w:szCs w:val="32"/>
          <w:lang w:val="de-DE"/>
        </w:rPr>
        <w:t>公顷，计划实施周期为</w:t>
      </w:r>
      <w:r w:rsidRPr="00BE1F40">
        <w:rPr>
          <w:rFonts w:ascii="Times New Roman" w:eastAsia="仿宋_GB2312" w:hAnsi="Times New Roman" w:hint="eastAsia"/>
          <w:sz w:val="32"/>
          <w:szCs w:val="32"/>
          <w:lang w:val="de-DE"/>
        </w:rPr>
        <w:t>2</w:t>
      </w:r>
      <w:r w:rsidRPr="00BE1F40">
        <w:rPr>
          <w:rFonts w:ascii="Times New Roman" w:eastAsia="仿宋_GB2312" w:hAnsi="Times New Roman"/>
          <w:sz w:val="32"/>
          <w:szCs w:val="32"/>
          <w:lang w:val="de-DE"/>
        </w:rPr>
        <w:t>022</w:t>
      </w:r>
      <w:r w:rsidRPr="00BE1F40">
        <w:rPr>
          <w:rFonts w:ascii="Times New Roman" w:eastAsia="仿宋_GB2312" w:hAnsi="Times New Roman" w:hint="eastAsia"/>
          <w:sz w:val="32"/>
          <w:szCs w:val="32"/>
          <w:lang w:val="de-DE"/>
        </w:rPr>
        <w:t>年—</w:t>
      </w:r>
      <w:r w:rsidRPr="00BE1F40">
        <w:rPr>
          <w:rFonts w:ascii="Times New Roman" w:eastAsia="仿宋_GB2312" w:hAnsi="Times New Roman" w:hint="eastAsia"/>
          <w:sz w:val="32"/>
          <w:szCs w:val="32"/>
          <w:lang w:val="de-DE"/>
        </w:rPr>
        <w:t>2</w:t>
      </w:r>
      <w:r w:rsidRPr="00BE1F40">
        <w:rPr>
          <w:rFonts w:ascii="Times New Roman" w:eastAsia="仿宋_GB2312" w:hAnsi="Times New Roman"/>
          <w:sz w:val="32"/>
          <w:szCs w:val="32"/>
          <w:lang w:val="de-DE"/>
        </w:rPr>
        <w:t>024</w:t>
      </w:r>
      <w:r w:rsidRPr="00BE1F40">
        <w:rPr>
          <w:rFonts w:ascii="Times New Roman" w:eastAsia="仿宋_GB2312" w:hAnsi="Times New Roman" w:hint="eastAsia"/>
          <w:sz w:val="32"/>
          <w:szCs w:val="32"/>
          <w:lang w:val="de-DE"/>
        </w:rPr>
        <w:t>年，</w:t>
      </w:r>
      <w:r w:rsidRPr="00BE1F40">
        <w:rPr>
          <w:rFonts w:ascii="Times New Roman" w:eastAsia="仿宋_GB2312" w:hAnsi="Times New Roman" w:hint="eastAsia"/>
          <w:sz w:val="32"/>
          <w:szCs w:val="32"/>
          <w:lang w:val="de-DE"/>
        </w:rPr>
        <w:t>3</w:t>
      </w:r>
      <w:r w:rsidRPr="00BE1F40">
        <w:rPr>
          <w:rFonts w:ascii="Times New Roman" w:eastAsia="仿宋_GB2312" w:hAnsi="Times New Roman" w:hint="eastAsia"/>
          <w:sz w:val="32"/>
          <w:szCs w:val="32"/>
          <w:lang w:val="de-DE"/>
        </w:rPr>
        <w:t>年内实施完毕。其中：</w:t>
      </w:r>
      <w:r w:rsidRPr="00BE1F40">
        <w:rPr>
          <w:rFonts w:ascii="Times New Roman" w:eastAsia="仿宋_GB2312" w:hAnsi="Times New Roman" w:hint="eastAsia"/>
          <w:sz w:val="32"/>
          <w:szCs w:val="32"/>
          <w:lang w:val="de-DE"/>
        </w:rPr>
        <w:t>2</w:t>
      </w:r>
      <w:r w:rsidRPr="00BE1F40">
        <w:rPr>
          <w:rFonts w:ascii="Times New Roman" w:eastAsia="仿宋_GB2312" w:hAnsi="Times New Roman"/>
          <w:sz w:val="32"/>
          <w:szCs w:val="32"/>
          <w:lang w:val="de-DE"/>
        </w:rPr>
        <w:t>022</w:t>
      </w:r>
      <w:r w:rsidRPr="00BE1F40">
        <w:rPr>
          <w:rFonts w:ascii="Times New Roman" w:eastAsia="仿宋_GB2312" w:hAnsi="Times New Roman" w:hint="eastAsia"/>
          <w:sz w:val="32"/>
          <w:szCs w:val="32"/>
          <w:lang w:val="de-DE"/>
        </w:rPr>
        <w:t>年实施面积</w:t>
      </w:r>
      <w:r w:rsidRPr="00BE1F40">
        <w:rPr>
          <w:rFonts w:ascii="Times New Roman" w:eastAsia="仿宋_GB2312" w:hAnsi="Times New Roman" w:hint="eastAsia"/>
          <w:sz w:val="32"/>
          <w:szCs w:val="32"/>
          <w:lang w:val="de-DE"/>
        </w:rPr>
        <w:t>2.2</w:t>
      </w:r>
      <w:r w:rsidR="008C3925">
        <w:rPr>
          <w:rFonts w:ascii="Times New Roman" w:eastAsia="仿宋_GB2312" w:hAnsi="Times New Roman"/>
          <w:sz w:val="32"/>
          <w:szCs w:val="32"/>
          <w:lang w:val="de-DE"/>
        </w:rPr>
        <w:t>610</w:t>
      </w:r>
      <w:r w:rsidRPr="00BE1F40">
        <w:rPr>
          <w:rFonts w:ascii="Times New Roman" w:eastAsia="仿宋_GB2312" w:hAnsi="Times New Roman" w:hint="eastAsia"/>
          <w:sz w:val="32"/>
          <w:szCs w:val="32"/>
          <w:lang w:val="de-DE"/>
        </w:rPr>
        <w:t>公顷，完成比例</w:t>
      </w:r>
      <w:r w:rsidRPr="00BE1F40">
        <w:rPr>
          <w:rFonts w:ascii="Times New Roman" w:eastAsia="仿宋_GB2312" w:hAnsi="Times New Roman"/>
          <w:sz w:val="32"/>
          <w:szCs w:val="32"/>
          <w:lang w:val="de-DE"/>
        </w:rPr>
        <w:t>18.</w:t>
      </w:r>
      <w:r w:rsidR="008C3925">
        <w:rPr>
          <w:rFonts w:ascii="Times New Roman" w:eastAsia="仿宋_GB2312" w:hAnsi="Times New Roman"/>
          <w:sz w:val="32"/>
          <w:szCs w:val="32"/>
          <w:lang w:val="de-DE"/>
        </w:rPr>
        <w:t>55</w:t>
      </w:r>
      <w:r w:rsidRPr="00BE1F40">
        <w:rPr>
          <w:rFonts w:ascii="Times New Roman" w:eastAsia="仿宋_GB2312" w:hAnsi="Times New Roman"/>
          <w:sz w:val="32"/>
          <w:szCs w:val="32"/>
          <w:lang w:val="de-DE"/>
        </w:rPr>
        <w:t>%</w:t>
      </w:r>
      <w:r w:rsidRPr="00BE1F40">
        <w:rPr>
          <w:rFonts w:ascii="Times New Roman" w:eastAsia="仿宋_GB2312" w:hAnsi="Times New Roman" w:hint="eastAsia"/>
          <w:sz w:val="32"/>
          <w:szCs w:val="32"/>
          <w:lang w:val="de-DE"/>
        </w:rPr>
        <w:t>；</w:t>
      </w:r>
      <w:r w:rsidRPr="00BE1F40">
        <w:rPr>
          <w:rFonts w:ascii="Times New Roman" w:eastAsia="仿宋_GB2312" w:hAnsi="Times New Roman" w:hint="eastAsia"/>
          <w:sz w:val="32"/>
          <w:szCs w:val="32"/>
          <w:lang w:val="de-DE"/>
        </w:rPr>
        <w:t>2</w:t>
      </w:r>
      <w:r w:rsidRPr="00BE1F40">
        <w:rPr>
          <w:rFonts w:ascii="Times New Roman" w:eastAsia="仿宋_GB2312" w:hAnsi="Times New Roman"/>
          <w:sz w:val="32"/>
          <w:szCs w:val="32"/>
          <w:lang w:val="de-DE"/>
        </w:rPr>
        <w:t>023</w:t>
      </w:r>
      <w:r w:rsidRPr="00BE1F40">
        <w:rPr>
          <w:rFonts w:ascii="Times New Roman" w:eastAsia="仿宋_GB2312" w:hAnsi="Times New Roman" w:hint="eastAsia"/>
          <w:sz w:val="32"/>
          <w:szCs w:val="32"/>
          <w:lang w:val="de-DE"/>
        </w:rPr>
        <w:t>年实施面积</w:t>
      </w:r>
      <w:r w:rsidRPr="00BE1F40">
        <w:rPr>
          <w:rFonts w:ascii="Times New Roman" w:eastAsia="仿宋_GB2312" w:hAnsi="Times New Roman" w:hint="eastAsia"/>
          <w:sz w:val="32"/>
          <w:szCs w:val="32"/>
          <w:lang w:val="de-DE"/>
        </w:rPr>
        <w:t>2</w:t>
      </w:r>
      <w:r w:rsidRPr="00BE1F40">
        <w:rPr>
          <w:rFonts w:ascii="Times New Roman" w:eastAsia="仿宋_GB2312" w:hAnsi="Times New Roman"/>
          <w:sz w:val="32"/>
          <w:szCs w:val="32"/>
          <w:lang w:val="de-DE"/>
        </w:rPr>
        <w:t>.</w:t>
      </w:r>
      <w:r w:rsidRPr="00BE1F40">
        <w:rPr>
          <w:rFonts w:ascii="Times New Roman" w:eastAsia="仿宋_GB2312" w:hAnsi="Times New Roman" w:hint="eastAsia"/>
          <w:sz w:val="32"/>
          <w:szCs w:val="32"/>
          <w:lang w:val="de-DE"/>
        </w:rPr>
        <w:t>5084</w:t>
      </w:r>
      <w:r w:rsidRPr="00BE1F40">
        <w:rPr>
          <w:rFonts w:ascii="Times New Roman" w:eastAsia="仿宋_GB2312" w:hAnsi="Times New Roman" w:hint="eastAsia"/>
          <w:sz w:val="32"/>
          <w:szCs w:val="32"/>
          <w:lang w:val="de-DE"/>
        </w:rPr>
        <w:t>公顷，完成比例</w:t>
      </w:r>
      <w:r w:rsidRPr="00BE1F40">
        <w:rPr>
          <w:rFonts w:ascii="Times New Roman" w:eastAsia="仿宋_GB2312" w:hAnsi="Times New Roman"/>
          <w:sz w:val="32"/>
          <w:szCs w:val="32"/>
          <w:lang w:val="de-DE"/>
        </w:rPr>
        <w:t>2</w:t>
      </w:r>
      <w:r w:rsidRPr="00BE1F40">
        <w:rPr>
          <w:rFonts w:ascii="Times New Roman" w:eastAsia="仿宋_GB2312" w:hAnsi="Times New Roman" w:hint="eastAsia"/>
          <w:sz w:val="32"/>
          <w:szCs w:val="32"/>
          <w:lang w:val="de-DE"/>
        </w:rPr>
        <w:t>0.</w:t>
      </w:r>
      <w:r w:rsidR="008C3925">
        <w:rPr>
          <w:rFonts w:ascii="Times New Roman" w:eastAsia="仿宋_GB2312" w:hAnsi="Times New Roman"/>
          <w:sz w:val="32"/>
          <w:szCs w:val="32"/>
          <w:lang w:val="de-DE"/>
        </w:rPr>
        <w:t>58</w:t>
      </w:r>
      <w:r w:rsidRPr="00BE1F40">
        <w:rPr>
          <w:rFonts w:ascii="Times New Roman" w:eastAsia="仿宋_GB2312" w:hAnsi="Times New Roman"/>
          <w:sz w:val="32"/>
          <w:szCs w:val="32"/>
          <w:lang w:val="de-DE"/>
        </w:rPr>
        <w:t>%</w:t>
      </w:r>
      <w:r w:rsidRPr="00BE1F40">
        <w:rPr>
          <w:rFonts w:ascii="Times New Roman" w:eastAsia="仿宋_GB2312" w:hAnsi="Times New Roman" w:hint="eastAsia"/>
          <w:sz w:val="32"/>
          <w:szCs w:val="32"/>
          <w:lang w:val="de-DE"/>
        </w:rPr>
        <w:t>；</w:t>
      </w:r>
      <w:r w:rsidRPr="00BE1F40">
        <w:rPr>
          <w:rFonts w:ascii="Times New Roman" w:eastAsia="仿宋_GB2312" w:hAnsi="Times New Roman"/>
          <w:sz w:val="32"/>
          <w:szCs w:val="32"/>
          <w:lang w:val="de-DE"/>
        </w:rPr>
        <w:t>2024</w:t>
      </w:r>
      <w:r w:rsidRPr="00BE1F40">
        <w:rPr>
          <w:rFonts w:ascii="Times New Roman" w:eastAsia="仿宋_GB2312" w:hAnsi="Times New Roman" w:hint="eastAsia"/>
          <w:sz w:val="32"/>
          <w:szCs w:val="32"/>
          <w:lang w:val="de-DE"/>
        </w:rPr>
        <w:t>年实施面积</w:t>
      </w:r>
      <w:r w:rsidRPr="00BE1F40">
        <w:rPr>
          <w:rFonts w:ascii="Times New Roman" w:eastAsia="仿宋_GB2312" w:hAnsi="Times New Roman" w:hint="eastAsia"/>
          <w:sz w:val="32"/>
          <w:szCs w:val="32"/>
          <w:lang w:val="de-DE"/>
        </w:rPr>
        <w:t>7</w:t>
      </w:r>
      <w:r w:rsidRPr="00BE1F40">
        <w:rPr>
          <w:rFonts w:ascii="Times New Roman" w:eastAsia="仿宋_GB2312" w:hAnsi="Times New Roman"/>
          <w:sz w:val="32"/>
          <w:szCs w:val="32"/>
          <w:lang w:val="de-DE"/>
        </w:rPr>
        <w:t>.</w:t>
      </w:r>
      <w:r w:rsidR="008C3925">
        <w:rPr>
          <w:rFonts w:ascii="Times New Roman" w:eastAsia="仿宋_GB2312" w:hAnsi="Times New Roman"/>
          <w:sz w:val="32"/>
          <w:szCs w:val="32"/>
          <w:lang w:val="de-DE"/>
        </w:rPr>
        <w:t>4178</w:t>
      </w:r>
      <w:r w:rsidRPr="00BE1F40">
        <w:rPr>
          <w:rFonts w:ascii="Times New Roman" w:eastAsia="仿宋_GB2312" w:hAnsi="Times New Roman" w:hint="eastAsia"/>
          <w:sz w:val="32"/>
          <w:szCs w:val="32"/>
          <w:lang w:val="de-DE"/>
        </w:rPr>
        <w:t>公顷，完成比例</w:t>
      </w:r>
      <w:r w:rsidRPr="00BE1F40">
        <w:rPr>
          <w:rFonts w:ascii="Times New Roman" w:eastAsia="仿宋_GB2312" w:hAnsi="Times New Roman" w:hint="eastAsia"/>
          <w:sz w:val="32"/>
          <w:szCs w:val="32"/>
          <w:lang w:val="de-DE"/>
        </w:rPr>
        <w:t>6</w:t>
      </w:r>
      <w:r w:rsidR="008C3925">
        <w:rPr>
          <w:rFonts w:ascii="Times New Roman" w:eastAsia="仿宋_GB2312" w:hAnsi="Times New Roman"/>
          <w:sz w:val="32"/>
          <w:szCs w:val="32"/>
          <w:lang w:val="de-DE"/>
        </w:rPr>
        <w:t>0.87</w:t>
      </w:r>
      <w:r w:rsidRPr="00BE1F40">
        <w:rPr>
          <w:rFonts w:ascii="Times New Roman" w:eastAsia="仿宋_GB2312" w:hAnsi="Times New Roman"/>
          <w:sz w:val="32"/>
          <w:szCs w:val="32"/>
          <w:lang w:val="de-DE"/>
        </w:rPr>
        <w:t>%</w:t>
      </w:r>
      <w:r w:rsidRPr="00BE1F40">
        <w:rPr>
          <w:rFonts w:ascii="Times New Roman" w:eastAsia="仿宋_GB2312" w:hAnsi="Times New Roman" w:hint="eastAsia"/>
          <w:sz w:val="32"/>
          <w:szCs w:val="32"/>
          <w:lang w:val="de-DE"/>
        </w:rPr>
        <w:t>。</w:t>
      </w:r>
    </w:p>
    <w:p w14:paraId="7757CF73" w14:textId="2F40C53F" w:rsidR="00FC5B9C" w:rsidRDefault="00EB4256" w:rsidP="00FC5B9C">
      <w:pPr>
        <w:spacing w:line="500" w:lineRule="exact"/>
        <w:ind w:firstLineChars="200" w:firstLine="640"/>
        <w:outlineLvl w:val="1"/>
        <w:rPr>
          <w:rFonts w:ascii="Times New Roman" w:eastAsia="黑体" w:hAnsi="Times New Roman"/>
          <w:bCs/>
          <w:sz w:val="32"/>
          <w:szCs w:val="32"/>
        </w:rPr>
      </w:pPr>
      <w:bookmarkStart w:id="6" w:name="_Toc61179757"/>
      <w:bookmarkStart w:id="7" w:name="_Toc61613928"/>
      <w:r>
        <w:rPr>
          <w:rFonts w:ascii="Times New Roman" w:eastAsia="黑体" w:hAnsi="Times New Roman" w:hint="eastAsia"/>
          <w:bCs/>
          <w:sz w:val="32"/>
          <w:szCs w:val="32"/>
        </w:rPr>
        <w:lastRenderedPageBreak/>
        <w:t>六</w:t>
      </w:r>
      <w:r w:rsidR="00FC5B9C">
        <w:rPr>
          <w:rFonts w:ascii="Times New Roman" w:eastAsia="黑体" w:hAnsi="Times New Roman"/>
          <w:bCs/>
          <w:sz w:val="32"/>
          <w:szCs w:val="32"/>
        </w:rPr>
        <w:t>、结论</w:t>
      </w:r>
      <w:bookmarkEnd w:id="6"/>
      <w:bookmarkEnd w:id="7"/>
    </w:p>
    <w:p w14:paraId="277E426B" w14:textId="77777777" w:rsidR="004D083D" w:rsidRDefault="00FC5B9C" w:rsidP="00BE1F40">
      <w:pPr>
        <w:pStyle w:val="a0"/>
        <w:ind w:firstLineChars="200" w:firstLine="640"/>
        <w:rPr>
          <w:rFonts w:ascii="Times New Roman" w:eastAsia="仿宋_GB2312" w:hAnsi="Times New Roman"/>
          <w:sz w:val="32"/>
          <w:szCs w:val="32"/>
          <w:lang w:val="de-DE"/>
        </w:rPr>
        <w:sectPr w:rsidR="004D083D">
          <w:pgSz w:w="11906" w:h="16838"/>
          <w:pgMar w:top="1440" w:right="1800" w:bottom="1440" w:left="1800" w:header="851" w:footer="992" w:gutter="0"/>
          <w:cols w:space="425"/>
          <w:docGrid w:type="lines" w:linePitch="312"/>
        </w:sectPr>
      </w:pPr>
      <w:r w:rsidRPr="00FC5B9C">
        <w:rPr>
          <w:rFonts w:ascii="Times New Roman" w:eastAsia="仿宋_GB2312" w:hAnsi="Times New Roman" w:hint="eastAsia"/>
          <w:sz w:val="32"/>
          <w:szCs w:val="32"/>
          <w:lang w:val="de-DE"/>
        </w:rPr>
        <w:t>本土地征收成片开发方案符合国民经济和社会发展规划，在土地利用总体规划确定的城镇建设用地范围内，已纳入国民经济和社会发展年度计划，符合部省规定的标准，做到了保护耕地、维护农民合法权益、节约集约用地、保护生态环境，能够促进经济社会可持续发展。</w:t>
      </w:r>
    </w:p>
    <w:p w14:paraId="5517C78F" w14:textId="16AF9139" w:rsidR="00D311E9" w:rsidRDefault="00D311E9" w:rsidP="00D311E9">
      <w:pPr>
        <w:ind w:firstLineChars="200" w:firstLine="640"/>
        <w:outlineLvl w:val="1"/>
        <w:rPr>
          <w:rFonts w:ascii="Times New Roman" w:eastAsia="仿宋_GB2312" w:hAnsi="Times New Roman"/>
          <w:b/>
          <w:sz w:val="32"/>
          <w:szCs w:val="32"/>
        </w:rPr>
      </w:pPr>
      <w:r w:rsidRPr="00D311E9">
        <w:rPr>
          <w:rFonts w:ascii="Times New Roman" w:eastAsia="仿宋_GB2312" w:hAnsi="Times New Roman" w:hint="eastAsia"/>
          <w:b/>
          <w:sz w:val="32"/>
          <w:szCs w:val="32"/>
        </w:rPr>
        <w:lastRenderedPageBreak/>
        <w:t>附表</w:t>
      </w:r>
    </w:p>
    <w:p w14:paraId="730F1377" w14:textId="77777777" w:rsidR="00300655" w:rsidRDefault="00300655" w:rsidP="00300655">
      <w:pPr>
        <w:widowControl/>
        <w:jc w:val="center"/>
        <w:rPr>
          <w:rFonts w:ascii="Times New Roman" w:eastAsia="黑体" w:hAnsi="Times New Roman"/>
          <w:color w:val="000000"/>
          <w:kern w:val="0"/>
          <w:sz w:val="28"/>
          <w:szCs w:val="28"/>
        </w:rPr>
      </w:pPr>
      <w:r>
        <w:rPr>
          <w:rFonts w:ascii="Times New Roman" w:eastAsia="黑体" w:hAnsi="Times New Roman"/>
          <w:color w:val="000000"/>
          <w:kern w:val="0"/>
          <w:sz w:val="28"/>
          <w:szCs w:val="28"/>
        </w:rPr>
        <w:t>土地利用现状及权属统计表</w:t>
      </w:r>
    </w:p>
    <w:p w14:paraId="6862E988" w14:textId="246ABEAF" w:rsidR="00D311E9" w:rsidRDefault="00D311E9" w:rsidP="00D311E9">
      <w:pPr>
        <w:pStyle w:val="a0"/>
      </w:pPr>
    </w:p>
    <w:tbl>
      <w:tblPr>
        <w:tblW w:w="5000" w:type="pct"/>
        <w:tblLook w:val="04A0" w:firstRow="1" w:lastRow="0" w:firstColumn="1" w:lastColumn="0" w:noHBand="0" w:noVBand="1"/>
      </w:tblPr>
      <w:tblGrid>
        <w:gridCol w:w="1671"/>
        <w:gridCol w:w="2667"/>
        <w:gridCol w:w="1339"/>
        <w:gridCol w:w="1671"/>
        <w:gridCol w:w="1255"/>
        <w:gridCol w:w="2003"/>
        <w:gridCol w:w="1671"/>
        <w:gridCol w:w="1671"/>
      </w:tblGrid>
      <w:tr w:rsidR="00300655" w:rsidRPr="004A049E" w14:paraId="60B12294" w14:textId="77777777" w:rsidTr="008A34F4">
        <w:trPr>
          <w:trHeight w:hRule="exact" w:val="510"/>
        </w:trPr>
        <w:tc>
          <w:tcPr>
            <w:tcW w:w="5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2C467"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用地方式</w:t>
            </w:r>
          </w:p>
        </w:tc>
        <w:tc>
          <w:tcPr>
            <w:tcW w:w="1436" w:type="pct"/>
            <w:gridSpan w:val="2"/>
            <w:tcBorders>
              <w:top w:val="single" w:sz="4" w:space="0" w:color="auto"/>
              <w:left w:val="nil"/>
              <w:bottom w:val="single" w:sz="4" w:space="0" w:color="auto"/>
              <w:right w:val="single" w:sz="4" w:space="0" w:color="auto"/>
            </w:tcBorders>
            <w:shd w:val="clear" w:color="auto" w:fill="auto"/>
            <w:noWrap/>
            <w:vAlign w:val="center"/>
            <w:hideMark/>
          </w:tcPr>
          <w:p w14:paraId="61958C17"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权属单位</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C450B"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面积总计</w:t>
            </w:r>
          </w:p>
        </w:tc>
        <w:tc>
          <w:tcPr>
            <w:tcW w:w="1168" w:type="pct"/>
            <w:gridSpan w:val="2"/>
            <w:tcBorders>
              <w:top w:val="single" w:sz="4" w:space="0" w:color="auto"/>
              <w:left w:val="nil"/>
              <w:bottom w:val="single" w:sz="4" w:space="0" w:color="auto"/>
              <w:right w:val="single" w:sz="4" w:space="0" w:color="auto"/>
            </w:tcBorders>
            <w:shd w:val="clear" w:color="auto" w:fill="auto"/>
            <w:noWrap/>
            <w:vAlign w:val="center"/>
            <w:hideMark/>
          </w:tcPr>
          <w:p w14:paraId="5A61860B"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农用地</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04609"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建设用地</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BB2A5"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未利用地</w:t>
            </w:r>
          </w:p>
        </w:tc>
      </w:tr>
      <w:tr w:rsidR="00300655" w:rsidRPr="004A049E" w14:paraId="4E454EC2" w14:textId="77777777" w:rsidTr="008A34F4">
        <w:trPr>
          <w:trHeight w:hRule="exact" w:val="510"/>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06888247" w14:textId="77777777" w:rsidR="00300655" w:rsidRPr="004A049E" w:rsidRDefault="00300655" w:rsidP="008A34F4">
            <w:pPr>
              <w:widowControl/>
              <w:jc w:val="center"/>
              <w:rPr>
                <w:rFonts w:ascii="Times New Roman" w:hAnsi="Times New Roman"/>
                <w:color w:val="000000" w:themeColor="text1"/>
                <w:kern w:val="0"/>
                <w:szCs w:val="21"/>
              </w:rPr>
            </w:pPr>
          </w:p>
        </w:tc>
        <w:tc>
          <w:tcPr>
            <w:tcW w:w="956" w:type="pct"/>
            <w:tcBorders>
              <w:top w:val="nil"/>
              <w:left w:val="nil"/>
              <w:bottom w:val="single" w:sz="4" w:space="0" w:color="auto"/>
              <w:right w:val="single" w:sz="4" w:space="0" w:color="auto"/>
            </w:tcBorders>
            <w:shd w:val="clear" w:color="auto" w:fill="auto"/>
            <w:noWrap/>
            <w:vAlign w:val="center"/>
            <w:hideMark/>
          </w:tcPr>
          <w:p w14:paraId="3DFA9098"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乡（镇、街道）</w:t>
            </w:r>
          </w:p>
        </w:tc>
        <w:tc>
          <w:tcPr>
            <w:tcW w:w="480" w:type="pct"/>
            <w:tcBorders>
              <w:top w:val="nil"/>
              <w:left w:val="nil"/>
              <w:bottom w:val="single" w:sz="4" w:space="0" w:color="auto"/>
              <w:right w:val="single" w:sz="4" w:space="0" w:color="auto"/>
            </w:tcBorders>
            <w:shd w:val="clear" w:color="auto" w:fill="auto"/>
            <w:noWrap/>
            <w:vAlign w:val="center"/>
            <w:hideMark/>
          </w:tcPr>
          <w:p w14:paraId="5089F6E7"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村</w:t>
            </w: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57D1D408" w14:textId="77777777" w:rsidR="00300655" w:rsidRPr="004A049E" w:rsidRDefault="00300655" w:rsidP="008A34F4">
            <w:pPr>
              <w:widowControl/>
              <w:jc w:val="center"/>
              <w:rPr>
                <w:rFonts w:ascii="Times New Roman" w:hAnsi="Times New Roman"/>
                <w:color w:val="000000" w:themeColor="text1"/>
                <w:kern w:val="0"/>
                <w:szCs w:val="21"/>
              </w:rPr>
            </w:pPr>
          </w:p>
        </w:tc>
        <w:tc>
          <w:tcPr>
            <w:tcW w:w="450" w:type="pct"/>
            <w:tcBorders>
              <w:top w:val="nil"/>
              <w:left w:val="nil"/>
              <w:bottom w:val="single" w:sz="4" w:space="0" w:color="auto"/>
              <w:right w:val="single" w:sz="4" w:space="0" w:color="auto"/>
            </w:tcBorders>
            <w:shd w:val="clear" w:color="auto" w:fill="auto"/>
            <w:noWrap/>
            <w:vAlign w:val="center"/>
            <w:hideMark/>
          </w:tcPr>
          <w:p w14:paraId="27C02820"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合计</w:t>
            </w:r>
          </w:p>
        </w:tc>
        <w:tc>
          <w:tcPr>
            <w:tcW w:w="718" w:type="pct"/>
            <w:tcBorders>
              <w:top w:val="nil"/>
              <w:left w:val="nil"/>
              <w:bottom w:val="single" w:sz="4" w:space="0" w:color="auto"/>
              <w:right w:val="single" w:sz="4" w:space="0" w:color="auto"/>
            </w:tcBorders>
            <w:shd w:val="clear" w:color="auto" w:fill="auto"/>
            <w:noWrap/>
            <w:vAlign w:val="center"/>
            <w:hideMark/>
          </w:tcPr>
          <w:p w14:paraId="11D018B6"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其中：耕地</w:t>
            </w: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7750C3B9" w14:textId="77777777" w:rsidR="00300655" w:rsidRPr="004A049E" w:rsidRDefault="00300655" w:rsidP="008A34F4">
            <w:pPr>
              <w:widowControl/>
              <w:jc w:val="center"/>
              <w:rPr>
                <w:rFonts w:ascii="Times New Roman" w:hAnsi="Times New Roman"/>
                <w:color w:val="000000" w:themeColor="text1"/>
                <w:kern w:val="0"/>
                <w:szCs w:val="21"/>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70718697" w14:textId="77777777" w:rsidR="00300655" w:rsidRPr="004A049E" w:rsidRDefault="00300655" w:rsidP="008A34F4">
            <w:pPr>
              <w:widowControl/>
              <w:jc w:val="center"/>
              <w:rPr>
                <w:rFonts w:ascii="Times New Roman" w:hAnsi="Times New Roman"/>
                <w:color w:val="000000" w:themeColor="text1"/>
                <w:kern w:val="0"/>
                <w:szCs w:val="21"/>
              </w:rPr>
            </w:pPr>
          </w:p>
        </w:tc>
      </w:tr>
      <w:tr w:rsidR="00300655" w:rsidRPr="004A049E" w14:paraId="1DB98AE6" w14:textId="77777777" w:rsidTr="008A34F4">
        <w:trPr>
          <w:trHeight w:hRule="exact" w:val="510"/>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53EB44B6"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集体土地</w:t>
            </w:r>
          </w:p>
        </w:tc>
        <w:tc>
          <w:tcPr>
            <w:tcW w:w="956" w:type="pct"/>
            <w:tcBorders>
              <w:top w:val="nil"/>
              <w:left w:val="nil"/>
              <w:bottom w:val="single" w:sz="4" w:space="0" w:color="auto"/>
              <w:right w:val="single" w:sz="4" w:space="0" w:color="auto"/>
            </w:tcBorders>
            <w:shd w:val="clear" w:color="auto" w:fill="auto"/>
            <w:noWrap/>
            <w:vAlign w:val="center"/>
            <w:hideMark/>
          </w:tcPr>
          <w:p w14:paraId="03B7EAF7"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龙津镇</w:t>
            </w:r>
          </w:p>
        </w:tc>
        <w:tc>
          <w:tcPr>
            <w:tcW w:w="480" w:type="pct"/>
            <w:tcBorders>
              <w:top w:val="nil"/>
              <w:left w:val="nil"/>
              <w:bottom w:val="single" w:sz="4" w:space="0" w:color="auto"/>
              <w:right w:val="single" w:sz="4" w:space="0" w:color="auto"/>
            </w:tcBorders>
            <w:shd w:val="clear" w:color="auto" w:fill="auto"/>
            <w:noWrap/>
            <w:vAlign w:val="center"/>
            <w:hideMark/>
          </w:tcPr>
          <w:p w14:paraId="41BDA7F9"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供坊</w:t>
            </w:r>
            <w:r w:rsidRPr="004A049E">
              <w:rPr>
                <w:rFonts w:ascii="Times New Roman" w:hAnsi="Times New Roman"/>
                <w:color w:val="000000" w:themeColor="text1"/>
                <w:kern w:val="0"/>
                <w:szCs w:val="21"/>
              </w:rPr>
              <w:t>村</w:t>
            </w:r>
          </w:p>
        </w:tc>
        <w:tc>
          <w:tcPr>
            <w:tcW w:w="599" w:type="pct"/>
            <w:tcBorders>
              <w:top w:val="nil"/>
              <w:left w:val="nil"/>
              <w:bottom w:val="single" w:sz="4" w:space="0" w:color="auto"/>
              <w:right w:val="single" w:sz="4" w:space="0" w:color="auto"/>
            </w:tcBorders>
            <w:shd w:val="clear" w:color="auto" w:fill="auto"/>
            <w:noWrap/>
            <w:vAlign w:val="center"/>
          </w:tcPr>
          <w:p w14:paraId="23E1D5AC"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8</w:t>
            </w:r>
            <w:r>
              <w:rPr>
                <w:rFonts w:ascii="Times New Roman" w:hAnsi="Times New Roman"/>
                <w:color w:val="000000" w:themeColor="text1"/>
                <w:kern w:val="0"/>
                <w:szCs w:val="21"/>
              </w:rPr>
              <w:t>.8440</w:t>
            </w:r>
          </w:p>
        </w:tc>
        <w:tc>
          <w:tcPr>
            <w:tcW w:w="450" w:type="pct"/>
            <w:tcBorders>
              <w:top w:val="nil"/>
              <w:left w:val="nil"/>
              <w:bottom w:val="single" w:sz="4" w:space="0" w:color="auto"/>
              <w:right w:val="single" w:sz="4" w:space="0" w:color="auto"/>
            </w:tcBorders>
            <w:shd w:val="clear" w:color="auto" w:fill="auto"/>
            <w:noWrap/>
            <w:vAlign w:val="center"/>
          </w:tcPr>
          <w:p w14:paraId="29CEF5A3"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8</w:t>
            </w:r>
            <w:r>
              <w:rPr>
                <w:rFonts w:ascii="Times New Roman" w:hAnsi="Times New Roman"/>
                <w:color w:val="000000" w:themeColor="text1"/>
                <w:kern w:val="0"/>
                <w:szCs w:val="21"/>
              </w:rPr>
              <w:t>.8417</w:t>
            </w:r>
          </w:p>
        </w:tc>
        <w:tc>
          <w:tcPr>
            <w:tcW w:w="718" w:type="pct"/>
            <w:tcBorders>
              <w:top w:val="nil"/>
              <w:left w:val="nil"/>
              <w:bottom w:val="single" w:sz="4" w:space="0" w:color="auto"/>
              <w:right w:val="single" w:sz="4" w:space="0" w:color="auto"/>
            </w:tcBorders>
            <w:shd w:val="clear" w:color="auto" w:fill="auto"/>
            <w:noWrap/>
            <w:vAlign w:val="center"/>
          </w:tcPr>
          <w:p w14:paraId="03B23301"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.5864</w:t>
            </w:r>
          </w:p>
        </w:tc>
        <w:tc>
          <w:tcPr>
            <w:tcW w:w="599" w:type="pct"/>
            <w:tcBorders>
              <w:top w:val="nil"/>
              <w:left w:val="nil"/>
              <w:bottom w:val="single" w:sz="4" w:space="0" w:color="auto"/>
              <w:right w:val="single" w:sz="4" w:space="0" w:color="auto"/>
            </w:tcBorders>
            <w:shd w:val="clear" w:color="auto" w:fill="auto"/>
            <w:noWrap/>
            <w:vAlign w:val="center"/>
          </w:tcPr>
          <w:p w14:paraId="665B5719"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.0024</w:t>
            </w:r>
          </w:p>
        </w:tc>
        <w:tc>
          <w:tcPr>
            <w:tcW w:w="599" w:type="pct"/>
            <w:tcBorders>
              <w:top w:val="nil"/>
              <w:left w:val="nil"/>
              <w:bottom w:val="single" w:sz="4" w:space="0" w:color="auto"/>
              <w:right w:val="single" w:sz="4" w:space="0" w:color="auto"/>
            </w:tcBorders>
            <w:shd w:val="clear" w:color="auto" w:fill="auto"/>
            <w:noWrap/>
            <w:vAlign w:val="center"/>
          </w:tcPr>
          <w:p w14:paraId="59293A97"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.0000</w:t>
            </w:r>
          </w:p>
        </w:tc>
      </w:tr>
      <w:tr w:rsidR="00300655" w:rsidRPr="004A049E" w14:paraId="2EE14C56" w14:textId="77777777" w:rsidTr="008A34F4">
        <w:trPr>
          <w:trHeight w:hRule="exact" w:val="510"/>
        </w:trPr>
        <w:tc>
          <w:tcPr>
            <w:tcW w:w="599" w:type="pct"/>
            <w:tcBorders>
              <w:top w:val="nil"/>
              <w:left w:val="single" w:sz="4" w:space="0" w:color="auto"/>
              <w:bottom w:val="single" w:sz="4" w:space="0" w:color="auto"/>
              <w:right w:val="single" w:sz="4" w:space="0" w:color="auto"/>
            </w:tcBorders>
            <w:shd w:val="clear" w:color="auto" w:fill="auto"/>
            <w:noWrap/>
            <w:vAlign w:val="center"/>
          </w:tcPr>
          <w:p w14:paraId="72125D70"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集体土地</w:t>
            </w:r>
          </w:p>
        </w:tc>
        <w:tc>
          <w:tcPr>
            <w:tcW w:w="956" w:type="pct"/>
            <w:tcBorders>
              <w:top w:val="nil"/>
              <w:left w:val="nil"/>
              <w:bottom w:val="single" w:sz="4" w:space="0" w:color="auto"/>
              <w:right w:val="single" w:sz="4" w:space="0" w:color="auto"/>
            </w:tcBorders>
            <w:shd w:val="clear" w:color="auto" w:fill="auto"/>
            <w:noWrap/>
            <w:vAlign w:val="center"/>
          </w:tcPr>
          <w:p w14:paraId="45978141"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龙津镇</w:t>
            </w:r>
          </w:p>
        </w:tc>
        <w:tc>
          <w:tcPr>
            <w:tcW w:w="480" w:type="pct"/>
            <w:tcBorders>
              <w:top w:val="nil"/>
              <w:left w:val="nil"/>
              <w:bottom w:val="single" w:sz="4" w:space="0" w:color="auto"/>
              <w:right w:val="single" w:sz="4" w:space="0" w:color="auto"/>
            </w:tcBorders>
            <w:shd w:val="clear" w:color="auto" w:fill="auto"/>
            <w:noWrap/>
            <w:vAlign w:val="center"/>
          </w:tcPr>
          <w:p w14:paraId="60468649"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俞坊村</w:t>
            </w:r>
          </w:p>
        </w:tc>
        <w:tc>
          <w:tcPr>
            <w:tcW w:w="599" w:type="pct"/>
            <w:tcBorders>
              <w:top w:val="nil"/>
              <w:left w:val="nil"/>
              <w:bottom w:val="single" w:sz="4" w:space="0" w:color="auto"/>
              <w:right w:val="single" w:sz="4" w:space="0" w:color="auto"/>
            </w:tcBorders>
            <w:shd w:val="clear" w:color="auto" w:fill="auto"/>
            <w:noWrap/>
            <w:vAlign w:val="center"/>
          </w:tcPr>
          <w:p w14:paraId="0C9A7909"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3</w:t>
            </w:r>
            <w:r>
              <w:rPr>
                <w:rFonts w:ascii="Times New Roman" w:hAnsi="Times New Roman"/>
                <w:color w:val="000000" w:themeColor="text1"/>
                <w:kern w:val="0"/>
                <w:szCs w:val="21"/>
              </w:rPr>
              <w:t>.2776</w:t>
            </w:r>
          </w:p>
        </w:tc>
        <w:tc>
          <w:tcPr>
            <w:tcW w:w="450" w:type="pct"/>
            <w:tcBorders>
              <w:top w:val="nil"/>
              <w:left w:val="nil"/>
              <w:bottom w:val="single" w:sz="4" w:space="0" w:color="auto"/>
              <w:right w:val="single" w:sz="4" w:space="0" w:color="auto"/>
            </w:tcBorders>
            <w:shd w:val="clear" w:color="auto" w:fill="auto"/>
            <w:noWrap/>
            <w:vAlign w:val="center"/>
          </w:tcPr>
          <w:p w14:paraId="1D2211EF"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3</w:t>
            </w:r>
            <w:r>
              <w:rPr>
                <w:rFonts w:ascii="Times New Roman" w:hAnsi="Times New Roman"/>
                <w:color w:val="000000" w:themeColor="text1"/>
                <w:kern w:val="0"/>
                <w:szCs w:val="21"/>
              </w:rPr>
              <w:t>.2776</w:t>
            </w:r>
          </w:p>
        </w:tc>
        <w:tc>
          <w:tcPr>
            <w:tcW w:w="718" w:type="pct"/>
            <w:tcBorders>
              <w:top w:val="nil"/>
              <w:left w:val="nil"/>
              <w:bottom w:val="single" w:sz="4" w:space="0" w:color="auto"/>
              <w:right w:val="single" w:sz="4" w:space="0" w:color="auto"/>
            </w:tcBorders>
            <w:shd w:val="clear" w:color="auto" w:fill="auto"/>
            <w:noWrap/>
            <w:vAlign w:val="center"/>
          </w:tcPr>
          <w:p w14:paraId="3F16B220"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.0000</w:t>
            </w:r>
          </w:p>
        </w:tc>
        <w:tc>
          <w:tcPr>
            <w:tcW w:w="599" w:type="pct"/>
            <w:tcBorders>
              <w:top w:val="nil"/>
              <w:left w:val="nil"/>
              <w:bottom w:val="single" w:sz="4" w:space="0" w:color="auto"/>
              <w:right w:val="single" w:sz="4" w:space="0" w:color="auto"/>
            </w:tcBorders>
            <w:shd w:val="clear" w:color="auto" w:fill="auto"/>
            <w:noWrap/>
            <w:vAlign w:val="center"/>
          </w:tcPr>
          <w:p w14:paraId="64BC4738"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.0000</w:t>
            </w:r>
          </w:p>
        </w:tc>
        <w:tc>
          <w:tcPr>
            <w:tcW w:w="599" w:type="pct"/>
            <w:tcBorders>
              <w:top w:val="nil"/>
              <w:left w:val="nil"/>
              <w:bottom w:val="single" w:sz="4" w:space="0" w:color="auto"/>
              <w:right w:val="single" w:sz="4" w:space="0" w:color="auto"/>
            </w:tcBorders>
            <w:shd w:val="clear" w:color="auto" w:fill="auto"/>
            <w:noWrap/>
            <w:vAlign w:val="center"/>
          </w:tcPr>
          <w:p w14:paraId="26052821"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.0000</w:t>
            </w:r>
          </w:p>
        </w:tc>
      </w:tr>
      <w:tr w:rsidR="00300655" w:rsidRPr="004A049E" w14:paraId="472AED7C" w14:textId="77777777" w:rsidTr="008A34F4">
        <w:trPr>
          <w:trHeight w:hRule="exact" w:val="510"/>
        </w:trPr>
        <w:tc>
          <w:tcPr>
            <w:tcW w:w="203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A4AA0"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集体土地小计</w:t>
            </w:r>
          </w:p>
        </w:tc>
        <w:tc>
          <w:tcPr>
            <w:tcW w:w="599" w:type="pct"/>
            <w:tcBorders>
              <w:top w:val="nil"/>
              <w:left w:val="nil"/>
              <w:bottom w:val="single" w:sz="4" w:space="0" w:color="auto"/>
              <w:right w:val="single" w:sz="4" w:space="0" w:color="auto"/>
            </w:tcBorders>
            <w:shd w:val="clear" w:color="auto" w:fill="auto"/>
            <w:noWrap/>
            <w:vAlign w:val="center"/>
          </w:tcPr>
          <w:p w14:paraId="1B4D8543"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1</w:t>
            </w:r>
            <w:r>
              <w:rPr>
                <w:rFonts w:ascii="Times New Roman" w:hAnsi="Times New Roman"/>
                <w:color w:val="000000" w:themeColor="text1"/>
                <w:kern w:val="0"/>
                <w:szCs w:val="21"/>
              </w:rPr>
              <w:t>2.1216</w:t>
            </w:r>
          </w:p>
        </w:tc>
        <w:tc>
          <w:tcPr>
            <w:tcW w:w="450" w:type="pct"/>
            <w:tcBorders>
              <w:top w:val="nil"/>
              <w:left w:val="nil"/>
              <w:bottom w:val="single" w:sz="4" w:space="0" w:color="auto"/>
              <w:right w:val="single" w:sz="4" w:space="0" w:color="auto"/>
            </w:tcBorders>
            <w:shd w:val="clear" w:color="auto" w:fill="auto"/>
            <w:noWrap/>
            <w:vAlign w:val="center"/>
          </w:tcPr>
          <w:p w14:paraId="07FE2A78"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1</w:t>
            </w:r>
            <w:r>
              <w:rPr>
                <w:rFonts w:ascii="Times New Roman" w:hAnsi="Times New Roman"/>
                <w:color w:val="000000" w:themeColor="text1"/>
                <w:kern w:val="0"/>
                <w:szCs w:val="21"/>
              </w:rPr>
              <w:t>2.1192</w:t>
            </w:r>
          </w:p>
        </w:tc>
        <w:tc>
          <w:tcPr>
            <w:tcW w:w="718" w:type="pct"/>
            <w:tcBorders>
              <w:top w:val="nil"/>
              <w:left w:val="nil"/>
              <w:bottom w:val="single" w:sz="4" w:space="0" w:color="auto"/>
              <w:right w:val="single" w:sz="4" w:space="0" w:color="auto"/>
            </w:tcBorders>
            <w:shd w:val="clear" w:color="auto" w:fill="auto"/>
            <w:noWrap/>
            <w:vAlign w:val="center"/>
          </w:tcPr>
          <w:p w14:paraId="3CAFE9E0"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.5864</w:t>
            </w:r>
          </w:p>
        </w:tc>
        <w:tc>
          <w:tcPr>
            <w:tcW w:w="599" w:type="pct"/>
            <w:tcBorders>
              <w:top w:val="nil"/>
              <w:left w:val="nil"/>
              <w:bottom w:val="single" w:sz="4" w:space="0" w:color="auto"/>
              <w:right w:val="single" w:sz="4" w:space="0" w:color="auto"/>
            </w:tcBorders>
            <w:shd w:val="clear" w:color="auto" w:fill="auto"/>
            <w:noWrap/>
            <w:vAlign w:val="center"/>
          </w:tcPr>
          <w:p w14:paraId="43AC1DA0"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.0024</w:t>
            </w:r>
          </w:p>
        </w:tc>
        <w:tc>
          <w:tcPr>
            <w:tcW w:w="599" w:type="pct"/>
            <w:tcBorders>
              <w:top w:val="nil"/>
              <w:left w:val="nil"/>
              <w:bottom w:val="single" w:sz="4" w:space="0" w:color="auto"/>
              <w:right w:val="single" w:sz="4" w:space="0" w:color="auto"/>
            </w:tcBorders>
            <w:shd w:val="clear" w:color="auto" w:fill="auto"/>
            <w:noWrap/>
            <w:vAlign w:val="center"/>
          </w:tcPr>
          <w:p w14:paraId="3CF96881"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.0000</w:t>
            </w:r>
          </w:p>
        </w:tc>
      </w:tr>
      <w:tr w:rsidR="00300655" w:rsidRPr="004A049E" w14:paraId="100FE0A2" w14:textId="77777777" w:rsidTr="008A34F4">
        <w:trPr>
          <w:trHeight w:hRule="exact" w:val="510"/>
        </w:trPr>
        <w:tc>
          <w:tcPr>
            <w:tcW w:w="203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598F8"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国有土地小计</w:t>
            </w:r>
          </w:p>
        </w:tc>
        <w:tc>
          <w:tcPr>
            <w:tcW w:w="599" w:type="pct"/>
            <w:tcBorders>
              <w:top w:val="nil"/>
              <w:left w:val="nil"/>
              <w:bottom w:val="single" w:sz="4" w:space="0" w:color="auto"/>
              <w:right w:val="single" w:sz="4" w:space="0" w:color="auto"/>
            </w:tcBorders>
            <w:shd w:val="clear" w:color="auto" w:fill="auto"/>
            <w:noWrap/>
            <w:vAlign w:val="center"/>
          </w:tcPr>
          <w:p w14:paraId="072A43A7"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.0656</w:t>
            </w:r>
          </w:p>
        </w:tc>
        <w:tc>
          <w:tcPr>
            <w:tcW w:w="450" w:type="pct"/>
            <w:tcBorders>
              <w:top w:val="nil"/>
              <w:left w:val="nil"/>
              <w:bottom w:val="single" w:sz="4" w:space="0" w:color="auto"/>
              <w:right w:val="single" w:sz="4" w:space="0" w:color="auto"/>
            </w:tcBorders>
            <w:shd w:val="clear" w:color="auto" w:fill="auto"/>
            <w:noWrap/>
            <w:vAlign w:val="center"/>
          </w:tcPr>
          <w:p w14:paraId="7B72242C"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.0000</w:t>
            </w:r>
          </w:p>
        </w:tc>
        <w:tc>
          <w:tcPr>
            <w:tcW w:w="718" w:type="pct"/>
            <w:tcBorders>
              <w:top w:val="nil"/>
              <w:left w:val="nil"/>
              <w:bottom w:val="single" w:sz="4" w:space="0" w:color="auto"/>
              <w:right w:val="single" w:sz="4" w:space="0" w:color="auto"/>
            </w:tcBorders>
            <w:shd w:val="clear" w:color="auto" w:fill="auto"/>
            <w:noWrap/>
            <w:vAlign w:val="center"/>
          </w:tcPr>
          <w:p w14:paraId="64E2A943"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.0000</w:t>
            </w:r>
          </w:p>
        </w:tc>
        <w:tc>
          <w:tcPr>
            <w:tcW w:w="599" w:type="pct"/>
            <w:tcBorders>
              <w:top w:val="nil"/>
              <w:left w:val="nil"/>
              <w:bottom w:val="single" w:sz="4" w:space="0" w:color="auto"/>
              <w:right w:val="single" w:sz="4" w:space="0" w:color="auto"/>
            </w:tcBorders>
            <w:shd w:val="clear" w:color="auto" w:fill="auto"/>
            <w:noWrap/>
            <w:vAlign w:val="center"/>
          </w:tcPr>
          <w:p w14:paraId="66846427"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.0000</w:t>
            </w:r>
          </w:p>
        </w:tc>
        <w:tc>
          <w:tcPr>
            <w:tcW w:w="599" w:type="pct"/>
            <w:tcBorders>
              <w:top w:val="nil"/>
              <w:left w:val="nil"/>
              <w:bottom w:val="single" w:sz="4" w:space="0" w:color="auto"/>
              <w:right w:val="single" w:sz="4" w:space="0" w:color="auto"/>
            </w:tcBorders>
            <w:shd w:val="clear" w:color="auto" w:fill="auto"/>
            <w:noWrap/>
            <w:vAlign w:val="center"/>
          </w:tcPr>
          <w:p w14:paraId="00030CD4"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.0656</w:t>
            </w:r>
          </w:p>
        </w:tc>
      </w:tr>
      <w:tr w:rsidR="00300655" w:rsidRPr="004A049E" w14:paraId="251DB7D8" w14:textId="77777777" w:rsidTr="008A34F4">
        <w:trPr>
          <w:trHeight w:hRule="exact" w:val="510"/>
        </w:trPr>
        <w:tc>
          <w:tcPr>
            <w:tcW w:w="203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9627F" w14:textId="77777777" w:rsidR="00300655" w:rsidRPr="004A049E" w:rsidRDefault="00300655" w:rsidP="008A34F4">
            <w:pPr>
              <w:widowControl/>
              <w:jc w:val="center"/>
              <w:rPr>
                <w:rFonts w:ascii="Times New Roman" w:hAnsi="Times New Roman"/>
                <w:color w:val="000000" w:themeColor="text1"/>
                <w:kern w:val="0"/>
                <w:szCs w:val="21"/>
              </w:rPr>
            </w:pPr>
            <w:r w:rsidRPr="004A049E">
              <w:rPr>
                <w:rFonts w:ascii="Times New Roman" w:hAnsi="Times New Roman"/>
                <w:color w:val="000000" w:themeColor="text1"/>
                <w:kern w:val="0"/>
                <w:szCs w:val="21"/>
              </w:rPr>
              <w:t>总计</w:t>
            </w:r>
          </w:p>
        </w:tc>
        <w:tc>
          <w:tcPr>
            <w:tcW w:w="599" w:type="pct"/>
            <w:tcBorders>
              <w:top w:val="nil"/>
              <w:left w:val="nil"/>
              <w:bottom w:val="single" w:sz="4" w:space="0" w:color="auto"/>
              <w:right w:val="single" w:sz="4" w:space="0" w:color="auto"/>
            </w:tcBorders>
            <w:shd w:val="clear" w:color="auto" w:fill="auto"/>
            <w:noWrap/>
            <w:vAlign w:val="center"/>
          </w:tcPr>
          <w:p w14:paraId="6AB479EA"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1</w:t>
            </w:r>
            <w:r>
              <w:rPr>
                <w:rFonts w:ascii="Times New Roman" w:hAnsi="Times New Roman"/>
                <w:color w:val="000000" w:themeColor="text1"/>
                <w:kern w:val="0"/>
                <w:szCs w:val="21"/>
              </w:rPr>
              <w:t>2.1872</w:t>
            </w:r>
          </w:p>
        </w:tc>
        <w:tc>
          <w:tcPr>
            <w:tcW w:w="450" w:type="pct"/>
            <w:tcBorders>
              <w:top w:val="nil"/>
              <w:left w:val="nil"/>
              <w:bottom w:val="single" w:sz="4" w:space="0" w:color="auto"/>
              <w:right w:val="single" w:sz="4" w:space="0" w:color="auto"/>
            </w:tcBorders>
            <w:shd w:val="clear" w:color="auto" w:fill="auto"/>
            <w:noWrap/>
            <w:vAlign w:val="center"/>
          </w:tcPr>
          <w:p w14:paraId="28B5EB03"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1</w:t>
            </w:r>
            <w:r>
              <w:rPr>
                <w:rFonts w:ascii="Times New Roman" w:hAnsi="Times New Roman"/>
                <w:color w:val="000000" w:themeColor="text1"/>
                <w:kern w:val="0"/>
                <w:szCs w:val="21"/>
              </w:rPr>
              <w:t>2.1192</w:t>
            </w:r>
          </w:p>
        </w:tc>
        <w:tc>
          <w:tcPr>
            <w:tcW w:w="718" w:type="pct"/>
            <w:tcBorders>
              <w:top w:val="nil"/>
              <w:left w:val="nil"/>
              <w:bottom w:val="single" w:sz="4" w:space="0" w:color="auto"/>
              <w:right w:val="single" w:sz="4" w:space="0" w:color="auto"/>
            </w:tcBorders>
            <w:shd w:val="clear" w:color="auto" w:fill="auto"/>
            <w:noWrap/>
            <w:vAlign w:val="center"/>
          </w:tcPr>
          <w:p w14:paraId="6605A63B"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.5864</w:t>
            </w:r>
          </w:p>
        </w:tc>
        <w:tc>
          <w:tcPr>
            <w:tcW w:w="599" w:type="pct"/>
            <w:tcBorders>
              <w:top w:val="nil"/>
              <w:left w:val="nil"/>
              <w:bottom w:val="single" w:sz="4" w:space="0" w:color="auto"/>
              <w:right w:val="single" w:sz="4" w:space="0" w:color="auto"/>
            </w:tcBorders>
            <w:shd w:val="clear" w:color="auto" w:fill="auto"/>
            <w:noWrap/>
            <w:vAlign w:val="center"/>
          </w:tcPr>
          <w:p w14:paraId="01C724F7"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.0024</w:t>
            </w:r>
          </w:p>
        </w:tc>
        <w:tc>
          <w:tcPr>
            <w:tcW w:w="599" w:type="pct"/>
            <w:tcBorders>
              <w:top w:val="nil"/>
              <w:left w:val="nil"/>
              <w:bottom w:val="single" w:sz="4" w:space="0" w:color="auto"/>
              <w:right w:val="single" w:sz="4" w:space="0" w:color="auto"/>
            </w:tcBorders>
            <w:shd w:val="clear" w:color="auto" w:fill="auto"/>
            <w:noWrap/>
            <w:vAlign w:val="center"/>
          </w:tcPr>
          <w:p w14:paraId="4FE1D10D" w14:textId="77777777" w:rsidR="00300655" w:rsidRPr="004A049E" w:rsidRDefault="00300655" w:rsidP="008A34F4">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0</w:t>
            </w:r>
            <w:r>
              <w:rPr>
                <w:rFonts w:ascii="Times New Roman" w:hAnsi="Times New Roman"/>
                <w:color w:val="000000" w:themeColor="text1"/>
                <w:kern w:val="0"/>
                <w:szCs w:val="21"/>
              </w:rPr>
              <w:t>.0656</w:t>
            </w:r>
          </w:p>
        </w:tc>
      </w:tr>
    </w:tbl>
    <w:p w14:paraId="2E21FC31" w14:textId="68D4BB9D" w:rsidR="00300655" w:rsidRDefault="00300655" w:rsidP="00D311E9">
      <w:pPr>
        <w:pStyle w:val="a0"/>
      </w:pPr>
    </w:p>
    <w:p w14:paraId="442E71BE" w14:textId="77777777" w:rsidR="00300655" w:rsidRPr="00300655" w:rsidRDefault="00300655" w:rsidP="00D311E9">
      <w:pPr>
        <w:pStyle w:val="a0"/>
      </w:pPr>
    </w:p>
    <w:p w14:paraId="688E4C06" w14:textId="3E200F71" w:rsidR="00D311E9" w:rsidRPr="00D852A1" w:rsidRDefault="00D311E9" w:rsidP="00D852A1">
      <w:pPr>
        <w:pStyle w:val="a0"/>
        <w:ind w:firstLineChars="200" w:firstLine="640"/>
        <w:rPr>
          <w:rFonts w:ascii="Times New Roman" w:eastAsia="仿宋_GB2312" w:hAnsi="Times New Roman"/>
          <w:sz w:val="32"/>
          <w:szCs w:val="32"/>
        </w:rPr>
      </w:pPr>
      <w:r>
        <w:rPr>
          <w:rFonts w:ascii="Times New Roman" w:eastAsia="仿宋_GB2312" w:hAnsi="Times New Roman"/>
          <w:sz w:val="32"/>
          <w:szCs w:val="32"/>
        </w:rPr>
        <w:br w:type="page"/>
      </w:r>
    </w:p>
    <w:p w14:paraId="5BCA6554" w14:textId="77777777" w:rsidR="00D311E9" w:rsidRDefault="00D311E9" w:rsidP="00D311E9">
      <w:pPr>
        <w:ind w:firstLineChars="200" w:firstLine="640"/>
        <w:outlineLvl w:val="1"/>
        <w:rPr>
          <w:rFonts w:ascii="Times New Roman" w:eastAsia="仿宋_GB2312" w:hAnsi="Times New Roman"/>
          <w:b/>
          <w:sz w:val="32"/>
          <w:szCs w:val="32"/>
        </w:rPr>
      </w:pPr>
      <w:r>
        <w:rPr>
          <w:rFonts w:ascii="Times New Roman" w:eastAsia="仿宋_GB2312" w:hAnsi="Times New Roman"/>
          <w:b/>
          <w:sz w:val="32"/>
          <w:szCs w:val="32"/>
        </w:rPr>
        <w:lastRenderedPageBreak/>
        <w:t>附图</w:t>
      </w:r>
    </w:p>
    <w:p w14:paraId="1478E67F" w14:textId="04318888" w:rsidR="00FC5B9C" w:rsidRPr="004D083D" w:rsidRDefault="00D852A1" w:rsidP="00D852A1">
      <w:pPr>
        <w:pStyle w:val="a0"/>
        <w:ind w:firstLineChars="200" w:firstLine="640"/>
        <w:jc w:val="center"/>
        <w:rPr>
          <w:rFonts w:ascii="Times New Roman" w:eastAsia="仿宋_GB2312" w:hAnsi="Times New Roman"/>
          <w:sz w:val="32"/>
          <w:szCs w:val="32"/>
        </w:rPr>
      </w:pPr>
      <w:r>
        <w:rPr>
          <w:rFonts w:ascii="Times New Roman" w:eastAsia="仿宋_GB2312" w:hAnsi="Times New Roman" w:hint="eastAsia"/>
          <w:noProof/>
          <w:sz w:val="32"/>
          <w:szCs w:val="32"/>
        </w:rPr>
        <w:drawing>
          <wp:inline distT="0" distB="0" distL="0" distR="0" wp14:anchorId="7B4F6A72" wp14:editId="37676A71">
            <wp:extent cx="6711444" cy="474525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14830" cy="4747647"/>
                    </a:xfrm>
                    <a:prstGeom prst="rect">
                      <a:avLst/>
                    </a:prstGeom>
                  </pic:spPr>
                </pic:pic>
              </a:graphicData>
            </a:graphic>
          </wp:inline>
        </w:drawing>
      </w:r>
    </w:p>
    <w:sectPr w:rsidR="00FC5B9C" w:rsidRPr="004D083D" w:rsidSect="004D083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CBA6" w14:textId="77777777" w:rsidR="008F1242" w:rsidRDefault="008F1242" w:rsidP="00A128F8">
      <w:r>
        <w:separator/>
      </w:r>
    </w:p>
  </w:endnote>
  <w:endnote w:type="continuationSeparator" w:id="0">
    <w:p w14:paraId="3E86427C" w14:textId="77777777" w:rsidR="008F1242" w:rsidRDefault="008F1242" w:rsidP="00A1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F91E" w14:textId="77777777" w:rsidR="008F1242" w:rsidRDefault="008F1242" w:rsidP="00A128F8">
      <w:r>
        <w:separator/>
      </w:r>
    </w:p>
  </w:footnote>
  <w:footnote w:type="continuationSeparator" w:id="0">
    <w:p w14:paraId="3C122F70" w14:textId="77777777" w:rsidR="008F1242" w:rsidRDefault="008F1242" w:rsidP="00A12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33"/>
    <w:rsid w:val="000139B0"/>
    <w:rsid w:val="00054433"/>
    <w:rsid w:val="00083FF7"/>
    <w:rsid w:val="000B4ABE"/>
    <w:rsid w:val="001879B4"/>
    <w:rsid w:val="00237C00"/>
    <w:rsid w:val="00296CCA"/>
    <w:rsid w:val="002C10F6"/>
    <w:rsid w:val="002F168E"/>
    <w:rsid w:val="00300655"/>
    <w:rsid w:val="003730C4"/>
    <w:rsid w:val="00391EAE"/>
    <w:rsid w:val="00405184"/>
    <w:rsid w:val="0042121D"/>
    <w:rsid w:val="004329CC"/>
    <w:rsid w:val="00482BAA"/>
    <w:rsid w:val="004C5618"/>
    <w:rsid w:val="004D083D"/>
    <w:rsid w:val="005800F3"/>
    <w:rsid w:val="00622D82"/>
    <w:rsid w:val="007B1729"/>
    <w:rsid w:val="00840850"/>
    <w:rsid w:val="008A3528"/>
    <w:rsid w:val="008C3925"/>
    <w:rsid w:val="008F1242"/>
    <w:rsid w:val="009D3EE5"/>
    <w:rsid w:val="009F260B"/>
    <w:rsid w:val="00A10E66"/>
    <w:rsid w:val="00A128F8"/>
    <w:rsid w:val="00A24563"/>
    <w:rsid w:val="00A31394"/>
    <w:rsid w:val="00A42123"/>
    <w:rsid w:val="00B834B1"/>
    <w:rsid w:val="00BE0045"/>
    <w:rsid w:val="00BE1F40"/>
    <w:rsid w:val="00C01953"/>
    <w:rsid w:val="00C01B5D"/>
    <w:rsid w:val="00CD44FF"/>
    <w:rsid w:val="00CD7CD4"/>
    <w:rsid w:val="00CE778A"/>
    <w:rsid w:val="00D311E9"/>
    <w:rsid w:val="00D469FD"/>
    <w:rsid w:val="00D65A88"/>
    <w:rsid w:val="00D72CF2"/>
    <w:rsid w:val="00D852A1"/>
    <w:rsid w:val="00D92815"/>
    <w:rsid w:val="00E90064"/>
    <w:rsid w:val="00EB4256"/>
    <w:rsid w:val="00F144C9"/>
    <w:rsid w:val="00FB3561"/>
    <w:rsid w:val="00FC5B9C"/>
    <w:rsid w:val="00FD3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89A53"/>
  <w15:chartTrackingRefBased/>
  <w15:docId w15:val="{3D3E04AC-A577-49DB-A3D8-C3EDB959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54433"/>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a4"/>
    <w:uiPriority w:val="99"/>
    <w:unhideWhenUsed/>
    <w:rsid w:val="00054433"/>
    <w:rPr>
      <w:sz w:val="18"/>
      <w:szCs w:val="18"/>
    </w:rPr>
  </w:style>
  <w:style w:type="character" w:customStyle="1" w:styleId="a4">
    <w:name w:val="批注框文本 字符"/>
    <w:basedOn w:val="a1"/>
    <w:link w:val="a0"/>
    <w:uiPriority w:val="99"/>
    <w:rsid w:val="00054433"/>
    <w:rPr>
      <w:rFonts w:ascii="Calibri" w:eastAsia="宋体" w:hAnsi="Calibri" w:cs="Times New Roman"/>
      <w:sz w:val="18"/>
      <w:szCs w:val="18"/>
    </w:rPr>
  </w:style>
  <w:style w:type="paragraph" w:styleId="a5">
    <w:name w:val="List Paragraph"/>
    <w:basedOn w:val="a"/>
    <w:uiPriority w:val="34"/>
    <w:qFormat/>
    <w:rsid w:val="00054433"/>
    <w:pPr>
      <w:ind w:firstLineChars="200" w:firstLine="420"/>
    </w:pPr>
  </w:style>
  <w:style w:type="paragraph" w:styleId="a6">
    <w:name w:val="header"/>
    <w:basedOn w:val="a"/>
    <w:link w:val="a7"/>
    <w:uiPriority w:val="99"/>
    <w:unhideWhenUsed/>
    <w:rsid w:val="00A128F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A128F8"/>
    <w:rPr>
      <w:rFonts w:ascii="Calibri" w:eastAsia="宋体" w:hAnsi="Calibri" w:cs="Times New Roman"/>
      <w:sz w:val="18"/>
      <w:szCs w:val="18"/>
    </w:rPr>
  </w:style>
  <w:style w:type="paragraph" w:styleId="a8">
    <w:name w:val="footer"/>
    <w:basedOn w:val="a"/>
    <w:link w:val="a9"/>
    <w:uiPriority w:val="99"/>
    <w:unhideWhenUsed/>
    <w:rsid w:val="00A128F8"/>
    <w:pPr>
      <w:tabs>
        <w:tab w:val="center" w:pos="4153"/>
        <w:tab w:val="right" w:pos="8306"/>
      </w:tabs>
      <w:snapToGrid w:val="0"/>
      <w:jc w:val="left"/>
    </w:pPr>
    <w:rPr>
      <w:sz w:val="18"/>
      <w:szCs w:val="18"/>
    </w:rPr>
  </w:style>
  <w:style w:type="character" w:customStyle="1" w:styleId="a9">
    <w:name w:val="页脚 字符"/>
    <w:basedOn w:val="a1"/>
    <w:link w:val="a8"/>
    <w:uiPriority w:val="99"/>
    <w:rsid w:val="00A128F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38</cp:revision>
  <dcterms:created xsi:type="dcterms:W3CDTF">2022-09-16T01:45:00Z</dcterms:created>
  <dcterms:modified xsi:type="dcterms:W3CDTF">2022-10-08T09:17:00Z</dcterms:modified>
</cp:coreProperties>
</file>