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32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稳定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粮油生产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八条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措施的通知</w:t>
      </w:r>
    </w:p>
    <w:p w14:paraId="0F797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）</w:t>
      </w:r>
    </w:p>
    <w:p w14:paraId="46153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" w:eastAsia="仿宋_GB2312" w:cs="仿宋"/>
          <w:color w:val="auto"/>
          <w:sz w:val="32"/>
          <w:szCs w:val="32"/>
        </w:rPr>
      </w:pPr>
    </w:p>
    <w:p w14:paraId="25904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各乡（镇）人民政府，县直有关单位：</w:t>
      </w:r>
    </w:p>
    <w:p w14:paraId="36553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深入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贯彻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党中央、省、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关于保障国家粮食安全的战略部署，严格落实粮食安全党政同责要求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保护和调动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各类主体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积极性，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-SA"/>
        </w:rPr>
        <w:t>巩固粮油生产稳定发展良好态势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粮油生产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目标任务，结合我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实际，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现就粮油生产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措施通知如下：</w:t>
      </w:r>
    </w:p>
    <w:p w14:paraId="6646F4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一、严格落实粮食安全目标责任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。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-SA"/>
        </w:rPr>
        <w:t>严格落实耕地保护和粮食安全党政同责要求，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将粮食和油料生产任务按季节分品种分解到村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种植面积落实到户、到田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eastAsia="仿宋_GB2312" w:cs="仿宋"/>
          <w:color w:val="auto"/>
          <w:sz w:val="32"/>
          <w:szCs w:val="32"/>
        </w:rPr>
        <w:t>紧盯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春耕、夏种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、秋播、冬种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等关键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节点</w:t>
      </w:r>
      <w:r>
        <w:rPr>
          <w:rFonts w:hint="eastAsia" w:ascii="仿宋_GB2312" w:eastAsia="仿宋_GB2312" w:cs="仿宋"/>
          <w:color w:val="auto"/>
          <w:sz w:val="32"/>
          <w:szCs w:val="32"/>
        </w:rPr>
        <w:t>，逐季、逐品种抓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好</w:t>
      </w:r>
      <w:r>
        <w:rPr>
          <w:rFonts w:hint="eastAsia" w:ascii="仿宋_GB2312" w:eastAsia="仿宋_GB2312" w:cs="仿宋"/>
          <w:color w:val="auto"/>
          <w:sz w:val="32"/>
          <w:szCs w:val="32"/>
        </w:rPr>
        <w:t>落实</w:t>
      </w:r>
      <w:r>
        <w:rPr>
          <w:rFonts w:hint="eastAsia" w:ascii="仿宋_GB2312" w:eastAsia="仿宋_GB2312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序时推进粮油生产</w:t>
      </w:r>
      <w:r>
        <w:rPr>
          <w:rFonts w:hint="eastAsia" w:ascii="仿宋_GB2312" w:eastAsia="仿宋_GB2312" w:cs="仿宋"/>
          <w:color w:val="auto"/>
          <w:sz w:val="32"/>
          <w:szCs w:val="32"/>
        </w:rPr>
        <w:t>。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将粮油生产底线任务完成情况列入乡村振兴实绩考核内容，对未完成的乡（镇）进行通报或约谈。</w:t>
      </w:r>
    </w:p>
    <w:p w14:paraId="21EAE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积极扩大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早稻种植。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依托水稻工厂化机插育秧示范点，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大力推广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早稻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工厂化育秧、集中育秧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推行早稻生产社会化服务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连片或相对集中连片种植早稻10亩（含）以上的农户或经营主体，每亩给予补助200元（7月31日前收割），其中，列入重点示范的农户或经营主体每亩再叠加补助150元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种植早稻且连作晚稻30亩（含）以上的农户或经营主体，在省市补助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基础上，县级按双季晚稻实际面积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每亩再叠加补助2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0元</w:t>
      </w:r>
      <w:r>
        <w:rPr>
          <w:rFonts w:hint="eastAsia" w:ascii="仿宋_GB2312" w:hAnsi="仿宋" w:eastAsia="仿宋_GB2312" w:cs="仿宋"/>
          <w:color w:val="auto"/>
          <w:sz w:val="32"/>
          <w:szCs w:val="32"/>
          <w:u w:val="none"/>
        </w:rPr>
        <w:t>。</w:t>
      </w:r>
    </w:p>
    <w:p w14:paraId="6CCDA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充分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挖掘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种粮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潜力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积极引导种植主体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综合利用边坡荒地、幼龄果茶园、西瓜地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和冬、春闲置耕地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等扩种、间作套种甘薯、大豆、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杂豆、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玉米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、马铃薯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大力引导发展烤烟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>-水稻、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烤烟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甘薯、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>稻-豆、稻-油、稻-再-油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等模式，多种、抢种一季粮，提高土地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>复种指数</w:t>
      </w:r>
      <w:r>
        <w:rPr>
          <w:rFonts w:hint="eastAsia" w:ascii="仿宋_GB2312" w:hAnsi="仿宋" w:eastAsia="仿宋_GB2312" w:cs="仿宋"/>
          <w:color w:val="auto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持续推动抛荒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地复垦种粮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对抛荒耕地复垦后相对集中连片种植水稻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10亩（含）以上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农户或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经营主体，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除市级补助外，县级给予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每亩补助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00元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其中，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抛荒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地复垦种植水稻，且相对集中连片种植面积达30亩（含）以上的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农户或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经营主体，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除市级补助外，县级给予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每亩补助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00</w:t>
      </w:r>
    </w:p>
    <w:p w14:paraId="5880C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对抛荒耕地复垦后相对集中连片种植玉米、甘薯、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马铃薯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等粮食作物的，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除市级补助外，县级给予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每亩补助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00元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 w14:paraId="09609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推进粮油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单产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水平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提升</w:t>
      </w:r>
      <w:r>
        <w:rPr>
          <w:rFonts w:hint="eastAsia" w:ascii="黑体" w:hAnsi="黑体" w:eastAsia="黑体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精心组织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乡（镇）</w:t>
      </w:r>
      <w:r>
        <w:rPr>
          <w:rFonts w:hint="eastAsia" w:ascii="仿宋_GB2312" w:hAnsi="仿宋" w:eastAsia="仿宋_GB2312"/>
          <w:color w:val="auto"/>
          <w:sz w:val="32"/>
          <w:szCs w:val="32"/>
          <w:u w:val="none"/>
        </w:rPr>
        <w:t>实施省级粮食产能区增产模式攻关与推广</w:t>
      </w:r>
      <w:r>
        <w:rPr>
          <w:rFonts w:hint="eastAsia" w:ascii="仿宋_GB2312" w:hAnsi="仿宋" w:eastAsia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粮油规模种植主体单产提升、优质稻示范推广、大豆增产增效等粮油项目，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-SA"/>
        </w:rPr>
        <w:t>支持建立一批粮油增产增效示范片，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积极推广部颁二等以上优质稻和专用甘薯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、鲜食甜（糯）玉米等优良品种</w:t>
      </w:r>
      <w:r>
        <w:rPr>
          <w:rFonts w:hint="eastAsia" w:ascii="仿宋_GB2312" w:eastAsia="仿宋_GB2312" w:cs="仿宋"/>
          <w:color w:val="auto"/>
          <w:sz w:val="32"/>
          <w:szCs w:val="32"/>
        </w:rPr>
        <w:t>，集成应用水稻工厂化育秧、精确定量栽培、全程机械化、机收再生稻、病虫害绿色防控等</w:t>
      </w:r>
      <w:r>
        <w:rPr>
          <w:rFonts w:hint="eastAsia" w:ascii="仿宋_GB2312" w:eastAsia="仿宋_GB2312" w:cs="仿宋"/>
          <w:color w:val="auto"/>
          <w:sz w:val="32"/>
          <w:szCs w:val="32"/>
          <w:lang w:eastAsia="zh-CN"/>
        </w:rPr>
        <w:t>增产增效</w:t>
      </w:r>
      <w:r>
        <w:rPr>
          <w:rFonts w:hint="eastAsia" w:ascii="仿宋_GB2312" w:eastAsia="仿宋_GB2312" w:cs="仿宋"/>
          <w:color w:val="auto"/>
          <w:sz w:val="32"/>
          <w:szCs w:val="32"/>
        </w:rPr>
        <w:t>关键技术</w:t>
      </w:r>
      <w:r>
        <w:rPr>
          <w:rFonts w:hint="eastAsia" w:ascii="仿宋_GB2312" w:eastAsia="仿宋_GB2312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提高粮油单产水平，带动大面积粮油生产均衡增产。</w:t>
      </w:r>
    </w:p>
    <w:p w14:paraId="42097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五、促进粮食生产全程机械化。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用好用足农机购置补贴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和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农机报废更新补贴政策，大力推广适应丘陵山区粮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油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生产的先进适用、智能高效、绿色生态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、低损收获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的农机具，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优先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补助精量播种、高速插秧等粮食生产先进适用装备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，强化粮油设施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装备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支撑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。</w:t>
      </w:r>
      <w:r>
        <w:rPr>
          <w:rFonts w:hint="default" w:ascii="仿宋_GB2312" w:eastAsia="仿宋_GB2312" w:cs="仿宋"/>
          <w:color w:val="auto"/>
          <w:sz w:val="32"/>
          <w:szCs w:val="32"/>
          <w:u w:val="none"/>
          <w:lang w:val="en-US" w:eastAsia="zh-CN"/>
        </w:rPr>
        <w:t>持续提升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水稻</w:t>
      </w:r>
      <w:r>
        <w:rPr>
          <w:rFonts w:hint="default" w:ascii="仿宋_GB2312" w:eastAsia="仿宋_GB2312" w:cs="仿宋"/>
          <w:color w:val="auto"/>
          <w:sz w:val="32"/>
          <w:szCs w:val="32"/>
          <w:u w:val="none"/>
          <w:lang w:val="en-US" w:eastAsia="zh-CN"/>
        </w:rPr>
        <w:t>机插育秧能力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和</w:t>
      </w:r>
      <w:r>
        <w:rPr>
          <w:rFonts w:hint="default" w:ascii="仿宋_GB2312" w:eastAsia="仿宋_GB2312" w:cs="仿宋"/>
          <w:color w:val="auto"/>
          <w:sz w:val="32"/>
          <w:szCs w:val="32"/>
          <w:u w:val="none"/>
          <w:lang w:val="en-US" w:eastAsia="zh-CN"/>
        </w:rPr>
        <w:t>粮食产地烘干能力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仿宋_GB2312" w:eastAsia="仿宋_GB2312" w:cs="仿宋"/>
          <w:color w:val="auto"/>
          <w:sz w:val="32"/>
          <w:szCs w:val="32"/>
          <w:u w:val="none"/>
          <w:lang w:val="en-US" w:eastAsia="zh-CN"/>
        </w:rPr>
        <w:t>加快面向小农户和粮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油</w:t>
      </w:r>
      <w:r>
        <w:rPr>
          <w:rFonts w:hint="default" w:ascii="仿宋_GB2312" w:eastAsia="仿宋_GB2312" w:cs="仿宋"/>
          <w:color w:val="auto"/>
          <w:sz w:val="32"/>
          <w:szCs w:val="32"/>
          <w:u w:val="none"/>
          <w:lang w:val="en-US" w:eastAsia="zh-CN"/>
        </w:rPr>
        <w:t>生产薄弱环节托管服务，积极发展粮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食</w:t>
      </w:r>
      <w:r>
        <w:rPr>
          <w:rFonts w:hint="default" w:ascii="仿宋_GB2312" w:eastAsia="仿宋_GB2312" w:cs="仿宋"/>
          <w:color w:val="auto"/>
          <w:sz w:val="32"/>
          <w:szCs w:val="32"/>
          <w:u w:val="none"/>
          <w:lang w:val="en-US" w:eastAsia="zh-CN"/>
        </w:rPr>
        <w:t>代耕代种代防代收代烘服务。注重示范引领，扎实推进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粮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食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生产全程机械化行动，不断降低成本，提高粮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油</w:t>
      </w:r>
      <w:r>
        <w:rPr>
          <w:rFonts w:hint="default" w:ascii="仿宋_GB2312" w:eastAsia="仿宋_GB2312" w:cs="仿宋"/>
          <w:color w:val="auto"/>
          <w:sz w:val="32"/>
          <w:szCs w:val="32"/>
          <w:lang w:val="en-US" w:eastAsia="zh-CN"/>
        </w:rPr>
        <w:t>生产经济效益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。</w:t>
      </w:r>
    </w:p>
    <w:p w14:paraId="31DE96E1">
      <w:pPr>
        <w:keepNext w:val="0"/>
        <w:keepLines w:val="0"/>
        <w:pageBreakBefore w:val="0"/>
        <w:widowControl w:val="0"/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"/>
          <w:color w:val="auto"/>
          <w:sz w:val="32"/>
          <w:szCs w:val="32"/>
          <w:u w:val="none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color w:val="auto"/>
          <w:sz w:val="32"/>
          <w:szCs w:val="32"/>
        </w:rPr>
        <w:t>、培育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壮大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粮油类新型经营主体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-SA"/>
        </w:rPr>
        <w:t>优先将粮油生产经营主体列入高素质农民培育、乡村产业振兴带头人“头雁”项目、农村实用人才带头人培训等对象，切实提升生产经营和示范带动本领。</w:t>
      </w:r>
      <w:r>
        <w:rPr>
          <w:rFonts w:hint="eastAsia" w:ascii="仿宋_GB2312" w:eastAsia="仿宋_GB2312" w:cs="仿宋"/>
          <w:color w:val="auto"/>
          <w:sz w:val="32"/>
          <w:szCs w:val="32"/>
        </w:rPr>
        <w:t>加大规模种粮激励力度，从耕地地力保护补贴中安排资金，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对承包耕地30亩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含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以上种粮大户给予每亩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0元奖励。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  <w:t>加</w:t>
      </w:r>
      <w:r>
        <w:rPr>
          <w:rFonts w:hint="eastAsia" w:ascii="仿宋_GB2312" w:eastAsia="仿宋_GB2312" w:cs="仿宋"/>
          <w:color w:val="auto"/>
          <w:sz w:val="32"/>
          <w:szCs w:val="32"/>
          <w:lang w:eastAsia="zh-CN"/>
        </w:rPr>
        <w:t>快农业生产托管服务中心、农耕保姆站等农事服务中心（平台）建设，提升粮油作物社会化服务能力。</w:t>
      </w:r>
      <w:r>
        <w:rPr>
          <w:rFonts w:hint="eastAsia" w:ascii="仿宋_GB2312" w:eastAsia="仿宋_GB2312" w:cs="仿宋"/>
          <w:color w:val="auto"/>
          <w:sz w:val="32"/>
          <w:szCs w:val="32"/>
        </w:rPr>
        <w:t>聚焦水稻</w:t>
      </w:r>
      <w:r>
        <w:rPr>
          <w:rFonts w:hint="eastAsia" w:ascii="仿宋_GB2312" w:eastAsia="仿宋_GB2312" w:cs="仿宋"/>
          <w:color w:val="auto"/>
          <w:sz w:val="32"/>
          <w:szCs w:val="32"/>
          <w:lang w:val="en-US" w:eastAsia="zh-CN"/>
        </w:rPr>
        <w:t>生产</w:t>
      </w:r>
      <w:r>
        <w:rPr>
          <w:rFonts w:hint="eastAsia" w:ascii="仿宋_GB2312" w:eastAsia="仿宋_GB2312" w:cs="仿宋"/>
          <w:color w:val="auto"/>
          <w:sz w:val="32"/>
          <w:szCs w:val="32"/>
        </w:rPr>
        <w:t>，依托农业生产社会化服务项目，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对生产托管关键薄弱环节给予补助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全年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  <w:t>每亩最高补助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130元，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鼓励粮油生产经营主体开展绿色、有机农产品认证，对获得认证的产品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上级</w:t>
      </w:r>
      <w:r>
        <w:rPr>
          <w:rFonts w:hint="eastAsia" w:ascii="仿宋_GB2312" w:hAnsi="宋体" w:eastAsia="仿宋_GB2312" w:cs="Arial"/>
          <w:color w:val="auto"/>
          <w:sz w:val="32"/>
          <w:szCs w:val="32"/>
          <w:u w:val="none"/>
          <w:shd w:val="clear" w:color="auto" w:fill="FFFFFF"/>
        </w:rPr>
        <w:t>分别给予0.5-1.0万元的奖励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。</w:t>
      </w:r>
    </w:p>
    <w:p w14:paraId="6405B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Times New Roman" w:eastAsia="仿宋_GB2312"/>
          <w:color w:val="auto"/>
          <w:sz w:val="32"/>
          <w:szCs w:val="32"/>
          <w:u w:val="none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-SA"/>
        </w:rPr>
        <w:t>提升耕地综合生产能力。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扎实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推进高标准农田建设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-SA"/>
        </w:rPr>
        <w:t>加强高标准农田建设项目设施建后管护，积极筹措各类资金投入，扩大对受灾损毁农田水利设施保险范围，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县财政每年投入92万元将全县灌排渠和拦水坝设施纳入保险。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深</w:t>
      </w:r>
      <w:r>
        <w:rPr>
          <w:rFonts w:hint="eastAsia" w:ascii="仿宋_GB2312" w:eastAsia="仿宋_GB2312" w:cs="仿宋"/>
          <w:color w:val="auto"/>
          <w:sz w:val="32"/>
          <w:szCs w:val="32"/>
        </w:rPr>
        <w:t>入实施化肥减量增效与耕地质量提升项目，推广种植绿肥、施用商品有机肥、秸秆还田、酸化土壤治理等技术措施</w:t>
      </w:r>
      <w:r>
        <w:rPr>
          <w:rFonts w:hint="eastAsia" w:ascii="仿宋_GB2312" w:eastAsia="仿宋_GB2312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-SA"/>
        </w:rPr>
        <w:t>着力改良土壤，提高耕地地力。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val="en-US" w:eastAsia="zh-CN"/>
        </w:rPr>
        <w:t>县级每年安排1.5万元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支持耕地地力监测网络建设与维护，开展土壤监测评价，促进耕地质量持续改善。</w:t>
      </w:r>
    </w:p>
    <w:p w14:paraId="07BEF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强化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粮油生产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防灾减灾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减损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牢固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树立“防灾就是增产，减灾就是增收”理念，完善农业、气象、应急、水利等部门的信息共享机制，加强沟通会商，及时研判气候变化趋势，</w:t>
      </w:r>
      <w:r>
        <w:rPr>
          <w:rFonts w:hint="eastAsia" w:ascii="仿宋_GB2312" w:eastAsia="仿宋_GB2312" w:cs="仿宋"/>
          <w:color w:val="auto"/>
          <w:sz w:val="32"/>
          <w:szCs w:val="32"/>
        </w:rPr>
        <w:t>重点防范干旱、低温冷害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（倒春寒、寒露风、霜冻）</w:t>
      </w:r>
      <w:r>
        <w:rPr>
          <w:rFonts w:hint="eastAsia" w:ascii="仿宋_GB2312" w:eastAsia="仿宋_GB2312" w:cs="仿宋"/>
          <w:color w:val="auto"/>
          <w:sz w:val="32"/>
          <w:szCs w:val="32"/>
        </w:rPr>
        <w:t>、</w:t>
      </w:r>
      <w:r>
        <w:rPr>
          <w:rFonts w:hint="eastAsia" w:ascii="仿宋_GB2312" w:eastAsia="仿宋_GB2312" w:cs="仿宋"/>
          <w:color w:val="auto"/>
          <w:sz w:val="32"/>
          <w:szCs w:val="32"/>
          <w:lang w:eastAsia="zh-CN"/>
        </w:rPr>
        <w:t>高温、</w:t>
      </w:r>
      <w:r>
        <w:rPr>
          <w:rFonts w:hint="eastAsia" w:ascii="仿宋_GB2312" w:eastAsia="仿宋_GB2312" w:cs="仿宋"/>
          <w:color w:val="auto"/>
          <w:sz w:val="32"/>
          <w:szCs w:val="32"/>
        </w:rPr>
        <w:t>洪涝、台风等灾害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，落实防灾减灾技术措施。抓好救灾备荒应急种子等防灾物资储备，保障农业防灾减灾需要。加强水稻“三虫四病”、草地贪夜蛾等重大病虫监测预警，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推进绿色防控、联防联控、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统防统治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、应急防治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将主要粮油作物病虫危害损失率控制在5%以内，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全力保障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粮油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丰产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丰收。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扩大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  <w:t>水稻、玉米、马铃薯等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政策性农业保险覆盖面，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  <w:t>全面实施水稻和玉米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完全成本保险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降低生产者自然风险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" w:eastAsia="仿宋_GB2312"/>
          <w:color w:val="auto"/>
          <w:sz w:val="32"/>
          <w:szCs w:val="32"/>
          <w:u w:val="none"/>
        </w:rPr>
        <w:t>树立“减损就是增产”的理念，</w:t>
      </w:r>
      <w:r>
        <w:rPr>
          <w:rFonts w:hint="eastAsia" w:ascii="仿宋_GB2312" w:eastAsia="仿宋_GB2312" w:cs="仿宋"/>
          <w:color w:val="auto"/>
          <w:sz w:val="32"/>
          <w:szCs w:val="32"/>
          <w:u w:val="none"/>
        </w:rPr>
        <w:t>广泛开展机收减损技能培训与比武，推广粮食作物低损收获、高效烘干等技术与装备，将机收损失率控制在行业标准以内。</w:t>
      </w:r>
    </w:p>
    <w:p w14:paraId="44BC35D6">
      <w:pPr>
        <w:keepNext w:val="0"/>
        <w:keepLines w:val="0"/>
        <w:pageBreakBefore w:val="0"/>
        <w:widowControl w:val="0"/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以上政策措施自文件印发之日起实施，未特别注明时限的，有效期至202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年12月31日，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涉及的资金奖补政策以2026年1月1日为起算基准日。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涉及省、市政策补助资金的，以省、市实施时限为准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政策实行期有调整的，按最新政策执行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该政策由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县农业农村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和水利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财政局负责解释。</w:t>
      </w:r>
    </w:p>
    <w:p w14:paraId="4991A3E6">
      <w:pPr>
        <w:keepNext w:val="0"/>
        <w:keepLines w:val="0"/>
        <w:pageBreakBefore w:val="0"/>
        <w:widowControl w:val="0"/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AC9F453">
      <w:pPr>
        <w:pStyle w:val="2"/>
        <w:rPr>
          <w:rFonts w:hint="eastAsia"/>
        </w:rPr>
      </w:pPr>
    </w:p>
    <w:p w14:paraId="7A848A26">
      <w:pPr>
        <w:keepNext w:val="0"/>
        <w:keepLines w:val="0"/>
        <w:pageBreakBefore w:val="0"/>
        <w:widowControl w:val="0"/>
        <w:tabs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</w:t>
      </w:r>
    </w:p>
    <w:sectPr>
      <w:footerReference r:id="rId3" w:type="default"/>
      <w:pgSz w:w="11906" w:h="16838"/>
      <w:pgMar w:top="1757" w:right="1474" w:bottom="175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3A48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ODBmZDAzMjRmZjdlZjA2YjQ3YzJiZjM0OGQzZGYifQ=="/>
  </w:docVars>
  <w:rsids>
    <w:rsidRoot w:val="00972E33"/>
    <w:rsid w:val="00003709"/>
    <w:rsid w:val="000966E1"/>
    <w:rsid w:val="00190D77"/>
    <w:rsid w:val="00192B80"/>
    <w:rsid w:val="002D2732"/>
    <w:rsid w:val="00305C3B"/>
    <w:rsid w:val="003D43AB"/>
    <w:rsid w:val="003F400F"/>
    <w:rsid w:val="00462744"/>
    <w:rsid w:val="004B6ACF"/>
    <w:rsid w:val="004D0A0A"/>
    <w:rsid w:val="004D1886"/>
    <w:rsid w:val="004E0FFA"/>
    <w:rsid w:val="005440FD"/>
    <w:rsid w:val="00573BAE"/>
    <w:rsid w:val="00627FFD"/>
    <w:rsid w:val="00663793"/>
    <w:rsid w:val="006647A7"/>
    <w:rsid w:val="006707D8"/>
    <w:rsid w:val="006B48E4"/>
    <w:rsid w:val="006C4979"/>
    <w:rsid w:val="00732C24"/>
    <w:rsid w:val="00744BF0"/>
    <w:rsid w:val="0078472D"/>
    <w:rsid w:val="00791550"/>
    <w:rsid w:val="007A3284"/>
    <w:rsid w:val="007E4488"/>
    <w:rsid w:val="00863A2B"/>
    <w:rsid w:val="00875158"/>
    <w:rsid w:val="00884C8A"/>
    <w:rsid w:val="0089730E"/>
    <w:rsid w:val="008A070B"/>
    <w:rsid w:val="008F2E50"/>
    <w:rsid w:val="009267DC"/>
    <w:rsid w:val="00952BD8"/>
    <w:rsid w:val="009557E4"/>
    <w:rsid w:val="00972E33"/>
    <w:rsid w:val="009F0B84"/>
    <w:rsid w:val="009F429D"/>
    <w:rsid w:val="00A10927"/>
    <w:rsid w:val="00A1460E"/>
    <w:rsid w:val="00A72C29"/>
    <w:rsid w:val="00A821F9"/>
    <w:rsid w:val="00AA6F6E"/>
    <w:rsid w:val="00AF709D"/>
    <w:rsid w:val="00B03F64"/>
    <w:rsid w:val="00B83345"/>
    <w:rsid w:val="00BB77CD"/>
    <w:rsid w:val="00BC6B6B"/>
    <w:rsid w:val="00C22F7C"/>
    <w:rsid w:val="00C2497A"/>
    <w:rsid w:val="00C36A8F"/>
    <w:rsid w:val="00D230CF"/>
    <w:rsid w:val="00D46B41"/>
    <w:rsid w:val="00D96334"/>
    <w:rsid w:val="00D972FB"/>
    <w:rsid w:val="00E225B5"/>
    <w:rsid w:val="00E63B09"/>
    <w:rsid w:val="00E75C6E"/>
    <w:rsid w:val="00EE1C3B"/>
    <w:rsid w:val="00F009A6"/>
    <w:rsid w:val="00F62388"/>
    <w:rsid w:val="00FA47C1"/>
    <w:rsid w:val="00FC207F"/>
    <w:rsid w:val="00FD19EA"/>
    <w:rsid w:val="00FF292B"/>
    <w:rsid w:val="012443CF"/>
    <w:rsid w:val="01BB144E"/>
    <w:rsid w:val="027308D8"/>
    <w:rsid w:val="058D7B5F"/>
    <w:rsid w:val="06A045D9"/>
    <w:rsid w:val="072E6CF9"/>
    <w:rsid w:val="08D05C04"/>
    <w:rsid w:val="0B572F98"/>
    <w:rsid w:val="0B5D4D78"/>
    <w:rsid w:val="0D2611FA"/>
    <w:rsid w:val="0E8D07A9"/>
    <w:rsid w:val="0EBF037C"/>
    <w:rsid w:val="0ECA7307"/>
    <w:rsid w:val="109B0207"/>
    <w:rsid w:val="11E75493"/>
    <w:rsid w:val="143B1A86"/>
    <w:rsid w:val="14B720DC"/>
    <w:rsid w:val="154B5642"/>
    <w:rsid w:val="15C22CE2"/>
    <w:rsid w:val="161E777D"/>
    <w:rsid w:val="1625409D"/>
    <w:rsid w:val="16C46D32"/>
    <w:rsid w:val="17847FC2"/>
    <w:rsid w:val="17BD78F6"/>
    <w:rsid w:val="17C3523B"/>
    <w:rsid w:val="1887680C"/>
    <w:rsid w:val="18FA2EDF"/>
    <w:rsid w:val="1A197394"/>
    <w:rsid w:val="1A842754"/>
    <w:rsid w:val="1C8F101A"/>
    <w:rsid w:val="1E5A65EC"/>
    <w:rsid w:val="1ED717A5"/>
    <w:rsid w:val="2044720D"/>
    <w:rsid w:val="234A470C"/>
    <w:rsid w:val="242126C0"/>
    <w:rsid w:val="25DE712C"/>
    <w:rsid w:val="26323CB8"/>
    <w:rsid w:val="267D7507"/>
    <w:rsid w:val="26C42A7B"/>
    <w:rsid w:val="282D532D"/>
    <w:rsid w:val="28AF1C8D"/>
    <w:rsid w:val="29212FE2"/>
    <w:rsid w:val="292A3B4D"/>
    <w:rsid w:val="293607F6"/>
    <w:rsid w:val="2A4B6FAC"/>
    <w:rsid w:val="2C5541B3"/>
    <w:rsid w:val="2EE94C7E"/>
    <w:rsid w:val="2EF24830"/>
    <w:rsid w:val="2EFB522D"/>
    <w:rsid w:val="2F267CA9"/>
    <w:rsid w:val="33744400"/>
    <w:rsid w:val="3659514B"/>
    <w:rsid w:val="391159AF"/>
    <w:rsid w:val="396A08A7"/>
    <w:rsid w:val="3BB175C4"/>
    <w:rsid w:val="3D7E2D1F"/>
    <w:rsid w:val="3E1859AE"/>
    <w:rsid w:val="3EAA48DB"/>
    <w:rsid w:val="3EFE23FF"/>
    <w:rsid w:val="3F747F0C"/>
    <w:rsid w:val="3F8B3807"/>
    <w:rsid w:val="3FB5435F"/>
    <w:rsid w:val="40FC3ED1"/>
    <w:rsid w:val="41256859"/>
    <w:rsid w:val="44B4741B"/>
    <w:rsid w:val="452F1464"/>
    <w:rsid w:val="475F49C2"/>
    <w:rsid w:val="478C329D"/>
    <w:rsid w:val="48A056EB"/>
    <w:rsid w:val="49C77B60"/>
    <w:rsid w:val="4A8C07E0"/>
    <w:rsid w:val="4AEB582E"/>
    <w:rsid w:val="4D093341"/>
    <w:rsid w:val="4E17065A"/>
    <w:rsid w:val="504552FB"/>
    <w:rsid w:val="50DE21C3"/>
    <w:rsid w:val="51C62F20"/>
    <w:rsid w:val="52A94F25"/>
    <w:rsid w:val="52E91CA5"/>
    <w:rsid w:val="54FC12A2"/>
    <w:rsid w:val="57E77550"/>
    <w:rsid w:val="58151D22"/>
    <w:rsid w:val="588351BB"/>
    <w:rsid w:val="58F55DBC"/>
    <w:rsid w:val="594D5D0E"/>
    <w:rsid w:val="59F64A21"/>
    <w:rsid w:val="5A9B6753"/>
    <w:rsid w:val="5B24111A"/>
    <w:rsid w:val="5B586AC9"/>
    <w:rsid w:val="5CD5091E"/>
    <w:rsid w:val="5D41611C"/>
    <w:rsid w:val="5D87392B"/>
    <w:rsid w:val="5E793E28"/>
    <w:rsid w:val="5EE017FC"/>
    <w:rsid w:val="5F254CE6"/>
    <w:rsid w:val="60AD5F47"/>
    <w:rsid w:val="6152269D"/>
    <w:rsid w:val="629B736A"/>
    <w:rsid w:val="634962C2"/>
    <w:rsid w:val="63C416EC"/>
    <w:rsid w:val="65B2382A"/>
    <w:rsid w:val="65D846D0"/>
    <w:rsid w:val="66CF7B69"/>
    <w:rsid w:val="68976340"/>
    <w:rsid w:val="6B1B6990"/>
    <w:rsid w:val="6B9D5D34"/>
    <w:rsid w:val="6D097751"/>
    <w:rsid w:val="6D2F2FDA"/>
    <w:rsid w:val="6E3851B0"/>
    <w:rsid w:val="6E8B212E"/>
    <w:rsid w:val="70AF6941"/>
    <w:rsid w:val="70E272B2"/>
    <w:rsid w:val="70E50557"/>
    <w:rsid w:val="711033C8"/>
    <w:rsid w:val="71D63DC6"/>
    <w:rsid w:val="71F6497B"/>
    <w:rsid w:val="72FF3793"/>
    <w:rsid w:val="73C77120"/>
    <w:rsid w:val="747E70C9"/>
    <w:rsid w:val="75722526"/>
    <w:rsid w:val="76F95B56"/>
    <w:rsid w:val="771267E6"/>
    <w:rsid w:val="78277B08"/>
    <w:rsid w:val="7871055B"/>
    <w:rsid w:val="795C38FA"/>
    <w:rsid w:val="79DA4426"/>
    <w:rsid w:val="7A134097"/>
    <w:rsid w:val="7A4304E3"/>
    <w:rsid w:val="7A7B1B1A"/>
    <w:rsid w:val="7AC02107"/>
    <w:rsid w:val="7B2305B3"/>
    <w:rsid w:val="7C66113B"/>
    <w:rsid w:val="DBFE1A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styleId="3">
    <w:name w:val="toc 5"/>
    <w:next w:val="1"/>
    <w:qFormat/>
    <w:uiPriority w:val="0"/>
    <w:pPr>
      <w:widowControl w:val="0"/>
      <w:snapToGrid w:val="0"/>
      <w:spacing w:line="580" w:lineRule="exact"/>
      <w:ind w:left="1680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2182</Words>
  <Characters>2221</Characters>
  <Lines>20</Lines>
  <Paragraphs>5</Paragraphs>
  <TotalTime>10</TotalTime>
  <ScaleCrop>false</ScaleCrop>
  <LinksUpToDate>false</LinksUpToDate>
  <CharactersWithSpaces>2246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2023-05-22T08:31:00Z</dcterms:created>
  <dc:creator>Administrator</dc:creator>
  <cp:lastModifiedBy>。。。</cp:lastModifiedBy>
  <cp:lastPrinted>2026-01-23T02:01:00Z</cp:lastPrinted>
  <dcterms:modified xsi:type="dcterms:W3CDTF">2026-08-05T03:36:20Z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4ECC540DCBEF4A5FA09652605DC403A9_13</vt:lpwstr>
  </property>
  <property fmtid="{D5CDD505-2E9C-101B-9397-08002B2CF9AE}" pid="4" name="KSOTemplateDocerSaveRecord">
    <vt:lpwstr>eyJoZGlkIjoiNjViNDllMWUwNmY3NTM4ZTQyNjY0OGU3YzY2ODJkOTIiLCJ1c2VySWQiOiI2MzUxMzgxNDgifQ==</vt:lpwstr>
  </property>
</Properties>
</file>