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7BA6F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关于规范农水领域行政执法工作的</w:t>
      </w:r>
    </w:p>
    <w:p w14:paraId="171AE8A8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实施细则</w:t>
      </w:r>
    </w:p>
    <w:p w14:paraId="6B0C3F5F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 w14:paraId="49AEF57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第一章　总则</w:t>
      </w:r>
    </w:p>
    <w:p w14:paraId="7CFFE803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第一条　制定依据与目的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为深入推进依法行政，全面规范农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水领域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综合行</w:t>
      </w:r>
      <w:bookmarkStart w:id="0" w:name="_GoBack"/>
      <w:bookmarkEnd w:id="0"/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政执法行为，健全农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水领域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行政执法管理制度体系，严格落实行政执法公示、执法全过程记录、重大执法决定法制审核“三项制度”，规范自由裁量权，提升农业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和水利领域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执法规范化、法治化、专业化水平，保障农资质量安全、农产品质量安全、农业生态安全和农民合法权益，依据《中华人民共和国行政处罚法》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《中华人民共和国行政强制法》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《农业行政处罚程序规定》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《农业综合行政执法管理办法》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、《中华人民共和国水法》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等法律法规及规章规定，结合我县农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水领域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行政执法工作实际，制定本实施细则。</w:t>
      </w:r>
    </w:p>
    <w:p w14:paraId="3794BC0A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第二条　适用范围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本县行政区域内各级农业农村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和水利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主管部门及其执法人员，开展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农水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领域行政检查、行政处罚、行政强制、案件移送、信用监管等行政执法活动，适用本细则。</w:t>
      </w:r>
    </w:p>
    <w:p w14:paraId="1308DE9F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本细则为本县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农水领域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行政执法工作指导性、规范性文件，用于统一执法标准、规范执法流程、细化执法管理、约束执法行为，不直接作为行政处罚法定依据。</w:t>
      </w:r>
    </w:p>
    <w:p w14:paraId="1BC6A4F6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第三条　执法原则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执法工作坚持合法公正、程序正当、过罚相当、权责统一、教育与处罚相结合、包容审慎监管原则；严格落实依法履职、规范执法、文明执法、廉洁执法要求，全面推行柔性执法、精准执法、智慧执法，杜绝随意执法、选择性执法、粗放执法。</w:t>
      </w:r>
    </w:p>
    <w:p w14:paraId="69A749AD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第四条　执法主体与职责划分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农业农村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和水利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主管部门负责统筹本辖区农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行政执法工作，履行执法监督、制度建设、统筹协调职责。农业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和水利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综合行政执法机构依法集中行使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农水领域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行政处罚权及与之相关的行政检查、行政强制权，统一开展一线执法办案工作。</w:t>
      </w:r>
    </w:p>
    <w:p w14:paraId="15341771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行业监管股室负责日常行业监管、风险排查、隐患整改、线索移交、技术支撑，与执法机构建立监管执法联动机制，实现监管与执法无缝衔接。</w:t>
      </w:r>
    </w:p>
    <w:p w14:paraId="2FE04B98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第二章　执法人员与执法行为规范</w:t>
      </w:r>
    </w:p>
    <w:p w14:paraId="30B1F720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第五条　执法人员管理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水领域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执法人员必须取得合法有效的行政执法证件，持证上岗、亮证执法，无证人员不得独立开展执法检查、调查取证、作出执法决定。严格执行执法证件管理制度，规范证件申领、使用、年审、注销流程，严禁转借、冒用、伪造执法证件。</w:t>
      </w:r>
    </w:p>
    <w:p w14:paraId="34CE630F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执法人员应当常态化开展法律法规、业务技能、文书制作、廉政纪律培训，熟练掌握农业执法事项清单、裁量基准、办案流程、证据规则，持续提升执法专业化能力。</w:t>
      </w:r>
    </w:p>
    <w:p w14:paraId="63CB65A5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第六条　执法行为准则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执法人员开展执法活动应当着装规范、举止文明、用语规范、程序严谨，严格落实文明执法规范。严禁吃拿卡要、徇私枉法、滥用职权、超权限执法、超范围处罚；严禁粗暴执法、推诿扯皮、拖延办案。</w:t>
      </w:r>
    </w:p>
    <w:p w14:paraId="06A4165F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执法过程中坚持普法释法，推行执法与普法融合，对当事人开展案情释法、法规宣讲、合规指引，引导农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生产经营主体守法经营。</w:t>
      </w:r>
    </w:p>
    <w:p w14:paraId="3AE82B38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第三章　行政执法程序规范</w:t>
      </w:r>
    </w:p>
    <w:p w14:paraId="53D05704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第七条　日常行政检查规范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严格落实“双随机、一公开”监管制度，科学制定年度抽查检查计划，规范检查对象、检查内容、检查频次、检查流程。开展现场检查必须两名及以上执法人员参与，主动出示执法证件，告知检查事由、依据、当事人权利义务。</w:t>
      </w:r>
    </w:p>
    <w:p w14:paraId="74AC5430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现场检查应当全面、客观、如实记录，完整制作现场检查笔录、拍摄影像资料，对发现的轻微问题当场指导整改，对涉嫌违法线索及时固定证据、登记移送、立案核查，杜绝有案不查、线索流失。</w:t>
      </w:r>
    </w:p>
    <w:p w14:paraId="7867FD84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第八条　立案与管辖规范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对日常检查、投诉举报、上级交办、部门移送、舆情线索等发现的涉嫌违法行为，符合立案条件的，应当在法定期限内予以立案；不符合立案条件的，依法作出不予立案决定并说明理由。</w:t>
      </w:r>
    </w:p>
    <w:p w14:paraId="7E5F8A3D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严格按照属地管辖、职能管辖、级别管辖规定办理案件，不得越权管辖、推诿管辖、重复管辖。对不属于本单位管辖的案件，应当及时移送有管辖权的单位，并做好移送记录。</w:t>
      </w:r>
    </w:p>
    <w:p w14:paraId="341E85DD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第九条　调查取证规范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案件调查必须坚持事实清楚、证据确凿、程序合法原则，严格按照农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执法证据规则收集、固定、审查证据。重点规范书证、物证、询问笔录、现场笔录、视听资料、检测检验报告、鉴定意见、电子数据等各类证据的提取与留存标准，确保证据真实、合法、关联、完整，形成完整证据链条。</w:t>
      </w:r>
    </w:p>
    <w:p w14:paraId="12EB2B74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严禁诱导取证、非法取证、隐匿证据、篡改证据，取证全过程同步记录，保障取证程序合法有效。</w:t>
      </w:r>
    </w:p>
    <w:p w14:paraId="72AA02FB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第十条　告知、听证与陈述申辩规范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作出行政处罚决定前，必须依法履行事先告知义务，明确告知当事人违法事实、处罚依据、拟处罚内容及依法享有的陈述、申辩、听证权利。</w:t>
      </w:r>
    </w:p>
    <w:p w14:paraId="31E909B3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对符合听证条件的案件，当事人提出听证申请的，应当依法组织听证，严格按照听证程序规范开展听证工作，完整留存听证笔录，充分保障当事人合法权益。对当事人提出的陈述申辩意见，应当认真复核、如实记录、依法采纳，不得因当事人申辩加重处罚。</w:t>
      </w:r>
    </w:p>
    <w:p w14:paraId="4D4B0515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第十一条　案件审理与审批规范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案件调查终结后，办案人员应当撰写案件调查终结报告，明确案件事实、证据情况、定性意见、处理建议，严格履行内部审核、机构复核、机关审批流程。严格落实重大案件集体讨论制度，对案情复杂、涉案金额较大、社会影响较广、争议较大的案件，必须经集体讨论研究后作出处理决定。</w:t>
      </w:r>
    </w:p>
    <w:p w14:paraId="28F5F226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第十二条　处罚决定与文书送达规范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行政处罚决定书应当内容完整、事实清晰、定性准确、适用法律正确、裁量适当、逻辑严谨，严格按照统一文书格式制作，杜绝文书错漏、依据引用错误、裁量失当等问题。</w:t>
      </w:r>
    </w:p>
    <w:p w14:paraId="4FA65D70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严格按照法定方式、法定期限送达执法文书，规范直接送达、留置送达、邮寄送达、公告送达流程，留存完整送达凭证，确保文书送达合法有效。</w:t>
      </w:r>
    </w:p>
    <w:p w14:paraId="54801852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第十三条　执行与结案规范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依法督促当事人履行行政处罚决定，对逾期不履行的，依法履行催告程序，依规申请人民法院强制执行。案件履行完毕、不予处罚、依法撤销、执行终结等符合结案条件的，及时办理结案手续，撰写结案报告，规范完成案件闭环管理。</w:t>
      </w:r>
    </w:p>
    <w:p w14:paraId="5F58419B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第四章　行政执法三项制度落实</w:t>
      </w:r>
    </w:p>
    <w:p w14:paraId="5275F1BE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第十四条　行政执法公示制度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坚持“公开为常态、不公开为例外”，全面公示执法主体、执法人员、执法权限、执法依据、执法程序、裁量基准、执法结果、监督方式等信息。严格落实事前公开、事中公示、事后公开要求，规范公示内容、公示时限、公示渠道，及时更正错误公示信息，保障社会公众知情权、监督权。涉及国家秘密、商业秘密、个人隐私的信息依法不予公开。</w:t>
      </w:r>
    </w:p>
    <w:p w14:paraId="74DA2238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第十五条　执法全过程记录制度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对行政检查、调查取证、告知听证、案件审理、文书送达、处罚执行等全部执法环节，通过文字记录、音像记录相结合的方式实现全过程留痕、可回溯管理。文字记录规范完整、要素齐全，音像记录重点覆盖现场检查、调查询问、证据固定、强制执法、文书送达等关键环节。严格落实执法音视频资料存储、调取、归档、保密管理制度。</w:t>
      </w:r>
    </w:p>
    <w:p w14:paraId="0E5E7A7D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第十六条　重大执法决定法制审核制度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所有重大行政处罚、重大行政强制等执法决定必须经过法制审核，未经法制审核或者审核不通过的，不得作出执法决定。法制审核重点审核执法主体权限、案件事实、证据效力、法律适用、程序合规、裁量幅度、文书规范等内容，出具明确审核意见，对存在问题的案件退回补正、整改或不予通过。配齐配强法制审核人员，严格落实专人审核、分级负责制度。</w:t>
      </w:r>
    </w:p>
    <w:p w14:paraId="7B94924C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第五章　自由裁量与柔性执法规范</w:t>
      </w:r>
    </w:p>
    <w:p w14:paraId="5E0B65DE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第十七条　裁量基准适用规则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严格落实农业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和水利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处罚自由裁量基准制度，坚持过罚相当、宽严相济，区分轻微、一般、较重、严重违法档次，精准适用不予处罚、从轻处罚、减轻处罚、从重处罚情形。同一区域、同一性质、同一情节的违法行为，适用统一裁量标准，杜绝畸轻畸重、类案不同罚。</w:t>
      </w:r>
    </w:p>
    <w:p w14:paraId="3A14E4B5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第十八条　包容审慎监管与柔性执法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全面落实首违不罚、轻微免罚、无过错不处罚制度，对首次违法、情节轻微、及时改正、没有造成危害后果的违法行为，依法不予处罚，采取告诫、整改、普法、帮扶等方式引导主体合规经营。推行说理式执法、告知承诺、容错纠错机制，严禁简单化、一刀切执法。</w:t>
      </w:r>
    </w:p>
    <w:p w14:paraId="1E57E0B6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第六章　行刑衔接与联动执法</w:t>
      </w:r>
    </w:p>
    <w:p w14:paraId="52A16D7D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第十九条　行刑衔接机制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严格落实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农水领域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执法与刑事司法衔接工作机制，对涉嫌刑事犯罪的案件，必须依法及时移送公安、司法机关，杜绝以罚代刑、降格处理、有案不移。建立案件移送台账、线索会商、联合办案、信息共享机制，规范证据移送、案件交接、结果反馈流程。</w:t>
      </w:r>
    </w:p>
    <w:p w14:paraId="4B18C982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第二十条　部门联动与层级联动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健全与公安、市场监管、生态环境、应急管理等部门联合执法机制，针对农资打假、禁限用农兽药整治、非法捕捞、农业面源污染、违法占地建房等重点领域，开展联合排查、联合整治、联合惩戒。完善上下级农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执法层级联动机制，做好案件督办、业务指导、专项整治、跨区域协查工作。</w:t>
      </w:r>
    </w:p>
    <w:p w14:paraId="0162A611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第七章　执法文书与案卷管理</w:t>
      </w:r>
    </w:p>
    <w:p w14:paraId="184B16C5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第二十一条　执法文书规范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严格执行国家及本省农业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和水利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行政执法文书制作规范，统一文书格式、填写标准、使用流程，做到文书要素齐全、表述准确、逻辑严密、签章规范、日期完整。杜绝空白文书、错填漏填、随意涂改、格式混乱等问题。</w:t>
      </w:r>
    </w:p>
    <w:p w14:paraId="7D961BFA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第二十二条　案卷归档管理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实行“一案一卷、即时归档、规范保管”制度，案件办结后严格按照案卷整理顺序，完整归集立案材料、调查材料、证据材料、审核审批材料、文书送达材料、执行材料、结案材料等全部资料，规范装订、编号、存档。建立案卷台账，落实档案保管、查阅、借阅、保密、销毁制度，常态化开展案卷评查工作。</w:t>
      </w:r>
    </w:p>
    <w:p w14:paraId="390DA85F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第八章　执法监督与责任追究</w:t>
      </w:r>
    </w:p>
    <w:p w14:paraId="28DE5A27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第二十三条　内部监督管理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水领域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主管部门定期开展执法监督检查、案卷评查、执法质量考评、执法作风督查，重点核查执法程序、事实认定、法律适用、裁量标准、文书质量、案卷归档、制度落实等情况，建立问题台账，限期整改、闭环销号。</w:t>
      </w:r>
    </w:p>
    <w:p w14:paraId="64486473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第二十四条　外部监督机制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主动接受人大监督、司法监督、社会监督、舆论监督，畅通投诉举报渠道，及时回应群众诉求，依法妥善处理执法争议、复议诉讼案件，主动纠正违法、不当执法行为。</w:t>
      </w:r>
    </w:p>
    <w:p w14:paraId="74675875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第二十五条　执法责任追究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执法机构及执法人员存在超越职权、滥用职权、程序违法、事实不清、证据不足、适用法律错误、徇私舞弊、有案不立、压案不查、以罚代管、以罚代刑等执法过错的，依规依纪追究相关人员责任；涉嫌违法犯罪的，依法移交司法机关处理。</w:t>
      </w:r>
    </w:p>
    <w:p w14:paraId="20CC7C1D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第九章　附则</w:t>
      </w:r>
    </w:p>
    <w:p w14:paraId="115B9974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第二十六条　适用衔接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本细则未尽事宜，按照《中华人民共和国行政处罚法》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《农业行政处罚程序规定》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《农业综合行政执法管理办法》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、《中华人民共和国水法》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及国家、省、市相关法律法规、规章和规范性文件执行。本细则条款与上位规定不一致的，以上位规定为准。</w:t>
      </w:r>
    </w:p>
    <w:p w14:paraId="4A339D28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第二十七条　施行日期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本细则自印发之日起施行，由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清流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县农业农村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和水利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局负责解释。原有相关农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水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执法规范性文件与本细则不一致的，以本细则为准。</w:t>
      </w:r>
    </w:p>
    <w:p w14:paraId="493714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7BD89D"/>
    <w:rsid w:val="02232798"/>
    <w:rsid w:val="26F8096A"/>
    <w:rsid w:val="38E85D27"/>
    <w:rsid w:val="4480429C"/>
    <w:rsid w:val="4935640B"/>
    <w:rsid w:val="4B2B14AF"/>
    <w:rsid w:val="4B347EBF"/>
    <w:rsid w:val="59BF527A"/>
    <w:rsid w:val="5C60325B"/>
    <w:rsid w:val="5FF54D8E"/>
    <w:rsid w:val="6B294802"/>
    <w:rsid w:val="767D1B36"/>
    <w:rsid w:val="79874B1A"/>
    <w:rsid w:val="9FA31504"/>
    <w:rsid w:val="A6ED82CC"/>
    <w:rsid w:val="BE7BD89D"/>
    <w:rsid w:val="FFFF8D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4264</Words>
  <Characters>4270</Characters>
  <Lines>0</Lines>
  <Paragraphs>0</Paragraphs>
  <TotalTime>35</TotalTime>
  <ScaleCrop>false</ScaleCrop>
  <LinksUpToDate>false</LinksUpToDate>
  <CharactersWithSpaces>4388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2026-08-21T00:25:00Z</dcterms:created>
  <dc:creator>huawei</dc:creator>
  <cp:lastModifiedBy>。。。</cp:lastModifiedBy>
  <cp:lastPrinted>2026-09-09T07:57:00Z</cp:lastPrinted>
  <dcterms:modified xsi:type="dcterms:W3CDTF">2026-09-11T00:07:48Z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051BF56A0D564A42B071D96360DEA80B_13</vt:lpwstr>
  </property>
  <property fmtid="{D5CDD505-2E9C-101B-9397-08002B2CF9AE}" pid="4" name="KSOTemplateDocerSaveRecord">
    <vt:lpwstr>eyJoZGlkIjoiNjViNDllMWUwNmY3NTM4ZTQyNjY0OGU3YzY2ODJkOTIiLCJ1c2VySWQiOiI2MzUxMzgxNDgifQ==</vt:lpwstr>
  </property>
</Properties>
</file>