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2"/>
          <w:sz w:val="44"/>
          <w:szCs w:val="44"/>
          <w:lang w:val="en-US" w:eastAsia="zh-CN"/>
        </w:rPr>
        <w:t>清流县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2"/>
          <w:sz w:val="44"/>
          <w:szCs w:val="44"/>
        </w:rPr>
        <w:t>年高素质农民培育项目（中央资金）实施方案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2"/>
          <w:sz w:val="44"/>
          <w:szCs w:val="44"/>
          <w:lang w:eastAsia="zh-CN"/>
        </w:rPr>
        <w:t>（征求意见稿）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-12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根据《福建省财政厅 福建省农业农村厅关于下达中央农业经营主体能力提升资金的通知》（闽财农指〔2025〕35号）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高素质农民培育项目（中央资金）有关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要求，结合我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实际，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制定本实施方案。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总体目标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落实有力有效推进乡村全面振兴的工作部署，聚焦加强粮食和重要农产品稳定安全供给，实施高素质农民培育计划，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按照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《高素质农民培育规范》相关要求，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全面提升农民素质素养。202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下达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高素质农民培训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培训高素质农民40人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二、重点工作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开展高素质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农机手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农业生产无人机飞手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培训。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围绕支撑农业机械化高质量发展和提升农机作业服务质量，以专业农机手、农机大户和农机作业服务组织带头人为对象，以区域农机社会化服务中心为重点，聚焦主要粮油作物耕种管收机械化作业环节，扩大实施专业农机手培育行动，着力培养一批高素质农机手、农业生产无人机飞手，提高机手操作技能、信息化水平和职业素质，促进农机作业标准化、规范化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三、资金管理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482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zh-CN" w:bidi="ar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  <w:t>费用标准。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高素质农民培训项目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中央资金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9天（一天8学时，共计72学时）为一期，课堂教学每人每天费用一般不高于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本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干部培训标准（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本级为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450元）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实践教学费用按实际支出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用于需求摸底、总结评价和验收的费用不得超过培训总费用的5%，跟踪服务费用不得超过培训总费用的10%。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补助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bidi="ar"/>
        </w:rPr>
        <w:t>资金主要用于支付需求摸底、教师课酬、教材资料、场地租金、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zh-CN"/>
        </w:rPr>
        <w:t>实践实训、异地培训、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bidi="ar"/>
        </w:rPr>
        <w:t>交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zh-CN"/>
        </w:rPr>
        <w:t>流观摩、线上培训、证书制作、档案管理、农民集中培训的食宿</w:t>
      </w: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val="zh-CN"/>
        </w:rPr>
        <w:t>（</w:t>
      </w: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val="en-US" w:eastAsia="zh-CN"/>
        </w:rPr>
        <w:t>中、晚餐伙食费每人每餐不低于50元</w:t>
      </w: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val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zh-CN"/>
        </w:rPr>
        <w:t>、异地实训往返交通以及跟踪服务和总结评价等培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训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zh-CN"/>
        </w:rPr>
        <w:t>环节必需费用和验收费用。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培育资金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zh-CN"/>
        </w:rPr>
        <w:t>不得列支招投标、第三方评估、审计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和项目管理人员差旅补贴等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严禁以现金或实物形式给培育对象发放补助。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高素质农民培训授课教师讲课费按照《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清流县县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直机关培训费管理办法》（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财行〔202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号）的有关规定执行。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）资金监管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落实绩效评价结果与预算资金挂钩机制，做好培训计划和资金分配，提高财政资金使用效益。根据项目实施方案的规定，按照“谁使用、谁负责”的原则，加强资金管理，确保专款专用。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农业农村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督促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指导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培训任务承担单位建立培训台账，加强对各培训班次的检查验收和对辖区培训工作的监督检查。培训机构要规范资金使用和管理，严格按照有关培训管理规定执行，做到专款专用，独立记账核算，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培训效果。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四、强化质量培育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认真组织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培训对象。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有意意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农机生产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或正在从事农机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专业农机手、农机大户和农机作业服务组织带头人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选好培训基础。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加强培训（实训）基地建设。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大力推动区域内优质教育培训资源共建共享，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继续遴选一批示范带动能力强的实训实践基地，把技术培训与生产周期紧密结合起来，促进学以致用、教学相长。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加强培育课程建设。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落实“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开班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第一课”，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按照《培育规范》要求，选好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综合素养课，开设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农机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专业技能课，按需设置能力拓展课。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加强教材选用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eastAsia="zh-CN"/>
        </w:rPr>
        <w:t>把关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优先选用部省级培训教材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，加强意识形态方面审核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把关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教材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强师资</w:t>
      </w:r>
      <w:r>
        <w:rPr>
          <w:rFonts w:hint="eastAsia" w:ascii="仿宋_GB2312" w:hAnsi="仿宋_GB2312" w:cs="仿宋_GB2312"/>
          <w:b/>
          <w:color w:val="000000"/>
          <w:sz w:val="32"/>
          <w:szCs w:val="32"/>
          <w:lang w:eastAsia="zh-CN"/>
        </w:rPr>
        <w:t>队伍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遴选推荐一批熟悉现代信息技术、能深入田间地头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解决生产经营难题的技术能手和经营管理导师作为培育师资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综合素养课程师资原则上应来自行政事业单位、涉农院校、农广校、科研院所等公益性机构。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3756025</wp:posOffset>
                </wp:positionH>
                <wp:positionV relativeFrom="page">
                  <wp:posOffset>9670415</wp:posOffset>
                </wp:positionV>
                <wp:extent cx="1979930" cy="735330"/>
                <wp:effectExtent l="0" t="0" r="0" b="0"/>
                <wp:wrapTopAndBottom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75pt;margin-top:761.45pt;height:57.9pt;width:155.9pt;mso-position-vertical-relative:page;mso-wrap-distance-bottom:0pt;mso-wrap-distance-top:0pt;z-index:251661312;mso-width-relative:page;mso-height-relative:page;" filled="f" stroked="f" coordsize="21600,21600" o:gfxdata="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eaaaA2wAAAA0BAAAPAAAAAAAAAAEAIAAAACIAAABkcnMvZG93bnJldi54&#10;bWxQSwECFAAUAAAACACHTuJAktlP074BAACAAwAADgAAAAAAAAABACAAAAAqAQAAZHJzL2Uyb0Rv&#10;Yy54bWxQSwUGAAAAAAYABgBZAQAAWg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3603625</wp:posOffset>
                </wp:positionH>
                <wp:positionV relativeFrom="page">
                  <wp:posOffset>9518015</wp:posOffset>
                </wp:positionV>
                <wp:extent cx="1979930" cy="735330"/>
                <wp:effectExtent l="0" t="0" r="0" b="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75pt;margin-top:749.45pt;height:57.9pt;width:155.9pt;mso-position-vertical-relative:page;mso-wrap-distance-bottom:0pt;mso-wrap-distance-top:0pt;z-index:251659264;mso-width-relative:page;mso-height-relative:page;" filled="f" stroked="f" coordsize="21600,21600" o:gfxdata="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4hnZX2wAAAA0BAAAPAAAAAAAAAAEAIAAAACIAAABkcnMvZG93bnJldi54&#10;bWxQSwECFAAUAAAACACHTuJAsensbb4BAACAAwAADgAAAAAAAAABACAAAAAqAQAAZHJzL2Uyb0Rv&#10;Yy54bWxQSwUGAAAAAAYABgBZAQAAWg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/>
    <w:sectPr>
      <w:footerReference r:id="rId7" w:type="first"/>
      <w:footerReference r:id="rId5" w:type="default"/>
      <w:footerReference r:id="rId6" w:type="even"/>
      <w:pgSz w:w="11907" w:h="16840"/>
      <w:pgMar w:top="1417" w:right="1417" w:bottom="1417" w:left="1417" w:header="851" w:footer="992" w:gutter="0"/>
      <w:pgNumType w:fmt="numberInDash" w:start="1"/>
      <w:cols w:space="720" w:num="1"/>
      <w:rtlGutter w:val="0"/>
      <w:docGrid w:type="linesAndChar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5274F"/>
    <w:multiLevelType w:val="singleLevel"/>
    <w:tmpl w:val="A6F5274F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F1FC1"/>
    <w:rsid w:val="26C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6400"/>
      </w:tabs>
      <w:snapToGrid w:val="0"/>
      <w:spacing w:line="360" w:lineRule="atLeast"/>
      <w:jc w:val="left"/>
    </w:pPr>
    <w:rPr>
      <w:rFonts w:asci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1332</Words>
  <Characters>1358</Characters>
  <Lines>0</Lines>
  <Paragraphs>0</Paragraphs>
  <TotalTime>0</TotalTime>
  <ScaleCrop>false</ScaleCrop>
  <LinksUpToDate>false</LinksUpToDate>
  <CharactersWithSpaces>1359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2025-10-10T08:41:00Z</dcterms:created>
  <dc:creator>Administrator</dc:creator>
  <cp:lastModifiedBy>Administrator</cp:lastModifiedBy>
  <dcterms:modified xsi:type="dcterms:W3CDTF">2025-10-10T08:42:03Z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07B14E50CBBC4783A6355C8DB79C311C</vt:lpwstr>
  </property>
</Properties>
</file>