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34CDF">
      <w:pPr>
        <w:widowControl/>
        <w:ind w:firstLine="961"/>
        <w:jc w:val="center"/>
        <w:rPr>
          <w:rFonts w:ascii="华文中宋" w:eastAsia="华文中宋" w:cs="Times New Roman"/>
          <w:b/>
          <w:color w:val="000000" w:themeColor="text1"/>
          <w:kern w:val="0"/>
          <w:sz w:val="48"/>
          <w:szCs w:val="48"/>
          <w14:textFill>
            <w14:solidFill>
              <w14:schemeClr w14:val="tx1"/>
            </w14:solidFill>
          </w14:textFill>
        </w:rPr>
      </w:pPr>
    </w:p>
    <w:p w14:paraId="7178CCB1">
      <w:pPr>
        <w:widowControl/>
        <w:ind w:firstLine="0" w:firstLineChars="0"/>
        <w:jc w:val="center"/>
        <w:rPr>
          <w:rFonts w:hint="eastAsia" w:ascii="华文中宋" w:eastAsia="华文中宋" w:cs="Times New Roman"/>
          <w:b/>
          <w:color w:val="000000" w:themeColor="text1"/>
          <w:kern w:val="0"/>
          <w:sz w:val="48"/>
          <w:szCs w:val="48"/>
          <w14:textFill>
            <w14:solidFill>
              <w14:schemeClr w14:val="tx1"/>
            </w14:solidFill>
          </w14:textFill>
        </w:rPr>
      </w:pPr>
      <w:r>
        <w:rPr>
          <w:rFonts w:hint="eastAsia" w:ascii="华文中宋" w:eastAsia="华文中宋" w:cs="Times New Roman"/>
          <w:b/>
          <w:color w:val="000000" w:themeColor="text1"/>
          <w:kern w:val="0"/>
          <w:sz w:val="48"/>
          <w:szCs w:val="48"/>
          <w14:textFill>
            <w14:solidFill>
              <w14:schemeClr w14:val="tx1"/>
            </w14:solidFill>
          </w14:textFill>
        </w:rPr>
        <w:t>三明市清流县噪声敏感建筑物集中区域划定方案</w:t>
      </w:r>
    </w:p>
    <w:p w14:paraId="7B6833F7">
      <w:pPr>
        <w:widowControl/>
        <w:ind w:firstLine="0" w:firstLineChars="0"/>
        <w:jc w:val="center"/>
        <w:rPr>
          <w:rFonts w:hint="eastAsia" w:ascii="华文中宋" w:eastAsia="华文中宋" w:cs="Times New Roman"/>
          <w:b/>
          <w:color w:val="000000" w:themeColor="text1"/>
          <w:kern w:val="0"/>
          <w:sz w:val="48"/>
          <w:szCs w:val="48"/>
          <w:lang w:eastAsia="zh-CN"/>
          <w14:textFill>
            <w14:solidFill>
              <w14:schemeClr w14:val="tx1"/>
            </w14:solidFill>
          </w14:textFill>
        </w:rPr>
      </w:pPr>
      <w:r>
        <w:rPr>
          <w:rFonts w:hint="eastAsia" w:ascii="华文中宋" w:eastAsia="华文中宋" w:cs="Times New Roman"/>
          <w:b/>
          <w:color w:val="000000" w:themeColor="text1"/>
          <w:kern w:val="0"/>
          <w:sz w:val="48"/>
          <w:szCs w:val="48"/>
          <w:lang w:eastAsia="zh-CN"/>
          <w14:textFill>
            <w14:solidFill>
              <w14:schemeClr w14:val="tx1"/>
            </w14:solidFill>
          </w14:textFill>
        </w:rPr>
        <w:t>（征求意见稿）</w:t>
      </w:r>
    </w:p>
    <w:p w14:paraId="42519FA8">
      <w:pPr>
        <w:widowControl/>
        <w:ind w:firstLine="0" w:firstLineChars="0"/>
        <w:jc w:val="center"/>
        <w:rPr>
          <w:rFonts w:ascii="华文中宋" w:eastAsia="华文中宋" w:cs="Times New Roman"/>
          <w:b/>
          <w:color w:val="000000" w:themeColor="text1"/>
          <w:kern w:val="0"/>
          <w:sz w:val="44"/>
          <w:szCs w:val="44"/>
          <w14:textFill>
            <w14:solidFill>
              <w14:schemeClr w14:val="tx1"/>
            </w14:solidFill>
          </w14:textFill>
        </w:rPr>
      </w:pPr>
    </w:p>
    <w:p w14:paraId="5066C586">
      <w:pPr>
        <w:ind w:firstLine="560"/>
        <w:rPr>
          <w:rFonts w:cs="Times New Roman"/>
          <w:color w:val="000000" w:themeColor="text1"/>
          <w:sz w:val="28"/>
          <w:szCs w:val="24"/>
          <w14:textFill>
            <w14:solidFill>
              <w14:schemeClr w14:val="tx1"/>
            </w14:solidFill>
          </w14:textFill>
        </w:rPr>
      </w:pPr>
    </w:p>
    <w:p w14:paraId="11B48930">
      <w:pPr>
        <w:ind w:firstLine="560"/>
        <w:rPr>
          <w:rFonts w:cs="Times New Roman"/>
          <w:color w:val="000000" w:themeColor="text1"/>
          <w:sz w:val="28"/>
          <w:szCs w:val="24"/>
          <w14:textFill>
            <w14:solidFill>
              <w14:schemeClr w14:val="tx1"/>
            </w14:solidFill>
          </w14:textFill>
        </w:rPr>
      </w:pPr>
    </w:p>
    <w:p w14:paraId="55FFB24E">
      <w:pPr>
        <w:ind w:firstLine="560"/>
        <w:rPr>
          <w:rFonts w:cs="Times New Roman"/>
          <w:color w:val="000000" w:themeColor="text1"/>
          <w:sz w:val="28"/>
          <w:szCs w:val="24"/>
          <w14:textFill>
            <w14:solidFill>
              <w14:schemeClr w14:val="tx1"/>
            </w14:solidFill>
          </w14:textFill>
        </w:rPr>
      </w:pPr>
    </w:p>
    <w:p w14:paraId="4D683932">
      <w:pPr>
        <w:ind w:firstLine="560"/>
        <w:rPr>
          <w:rFonts w:cs="Times New Roman"/>
          <w:color w:val="000000" w:themeColor="text1"/>
          <w:sz w:val="28"/>
          <w:szCs w:val="24"/>
          <w14:textFill>
            <w14:solidFill>
              <w14:schemeClr w14:val="tx1"/>
            </w14:solidFill>
          </w14:textFill>
        </w:rPr>
      </w:pPr>
    </w:p>
    <w:p w14:paraId="32670B5B">
      <w:pPr>
        <w:ind w:firstLine="560"/>
        <w:rPr>
          <w:rFonts w:cs="Times New Roman"/>
          <w:color w:val="000000" w:themeColor="text1"/>
          <w:sz w:val="28"/>
          <w:szCs w:val="24"/>
          <w14:textFill>
            <w14:solidFill>
              <w14:schemeClr w14:val="tx1"/>
            </w14:solidFill>
          </w14:textFill>
        </w:rPr>
      </w:pPr>
    </w:p>
    <w:p w14:paraId="362B73E2">
      <w:pPr>
        <w:ind w:firstLine="560"/>
        <w:rPr>
          <w:rFonts w:cs="Times New Roman"/>
          <w:color w:val="000000" w:themeColor="text1"/>
          <w:sz w:val="28"/>
          <w:szCs w:val="24"/>
          <w14:textFill>
            <w14:solidFill>
              <w14:schemeClr w14:val="tx1"/>
            </w14:solidFill>
          </w14:textFill>
        </w:rPr>
      </w:pPr>
    </w:p>
    <w:p w14:paraId="3C096611">
      <w:pPr>
        <w:ind w:firstLine="560"/>
        <w:rPr>
          <w:rFonts w:cs="Times New Roman"/>
          <w:color w:val="000000" w:themeColor="text1"/>
          <w:sz w:val="28"/>
          <w:szCs w:val="24"/>
          <w14:textFill>
            <w14:solidFill>
              <w14:schemeClr w14:val="tx1"/>
            </w14:solidFill>
          </w14:textFill>
        </w:rPr>
      </w:pPr>
    </w:p>
    <w:p w14:paraId="4F9D6028">
      <w:pPr>
        <w:ind w:firstLine="560"/>
        <w:rPr>
          <w:rFonts w:cs="Times New Roman"/>
          <w:color w:val="000000" w:themeColor="text1"/>
          <w:sz w:val="28"/>
          <w:szCs w:val="24"/>
          <w14:textFill>
            <w14:solidFill>
              <w14:schemeClr w14:val="tx1"/>
            </w14:solidFill>
          </w14:textFill>
        </w:rPr>
      </w:pPr>
    </w:p>
    <w:p w14:paraId="637ED165">
      <w:pPr>
        <w:ind w:firstLine="560"/>
        <w:rPr>
          <w:rFonts w:cs="Times New Roman"/>
          <w:color w:val="000000" w:themeColor="text1"/>
          <w:sz w:val="28"/>
          <w:szCs w:val="24"/>
          <w14:textFill>
            <w14:solidFill>
              <w14:schemeClr w14:val="tx1"/>
            </w14:solidFill>
          </w14:textFill>
        </w:rPr>
      </w:pPr>
    </w:p>
    <w:p w14:paraId="1333FAFE">
      <w:pPr>
        <w:ind w:firstLine="560"/>
        <w:rPr>
          <w:rFonts w:cs="Times New Roman"/>
          <w:color w:val="000000" w:themeColor="text1"/>
          <w:sz w:val="28"/>
          <w:szCs w:val="24"/>
          <w14:textFill>
            <w14:solidFill>
              <w14:schemeClr w14:val="tx1"/>
            </w14:solidFill>
          </w14:textFill>
        </w:rPr>
      </w:pPr>
    </w:p>
    <w:p w14:paraId="4C3099F2">
      <w:pPr>
        <w:ind w:firstLine="560"/>
        <w:rPr>
          <w:rFonts w:cs="Times New Roman"/>
          <w:color w:val="000000" w:themeColor="text1"/>
          <w:sz w:val="28"/>
          <w:szCs w:val="24"/>
          <w14:textFill>
            <w14:solidFill>
              <w14:schemeClr w14:val="tx1"/>
            </w14:solidFill>
          </w14:textFill>
        </w:rPr>
      </w:pPr>
    </w:p>
    <w:p w14:paraId="7F8EB12D">
      <w:pPr>
        <w:ind w:firstLine="560"/>
        <w:rPr>
          <w:rFonts w:cs="Times New Roman"/>
          <w:color w:val="000000" w:themeColor="text1"/>
          <w:sz w:val="28"/>
          <w:szCs w:val="24"/>
          <w14:textFill>
            <w14:solidFill>
              <w14:schemeClr w14:val="tx1"/>
            </w14:solidFill>
          </w14:textFill>
        </w:rPr>
      </w:pPr>
    </w:p>
    <w:p w14:paraId="20300A81">
      <w:pPr>
        <w:ind w:firstLine="560"/>
        <w:rPr>
          <w:rFonts w:cs="Times New Roman"/>
          <w:color w:val="000000" w:themeColor="text1"/>
          <w:sz w:val="28"/>
          <w:szCs w:val="24"/>
          <w14:textFill>
            <w14:solidFill>
              <w14:schemeClr w14:val="tx1"/>
            </w14:solidFill>
          </w14:textFill>
        </w:rPr>
      </w:pPr>
    </w:p>
    <w:p w14:paraId="6E0FB3C7">
      <w:pPr>
        <w:ind w:firstLine="0" w:firstLineChars="0"/>
        <w:jc w:val="center"/>
        <w:rPr>
          <w:rFonts w:cs="Times New Roman"/>
          <w:color w:val="000000" w:themeColor="text1"/>
          <w:sz w:val="28"/>
          <w:szCs w:val="24"/>
          <w14:textFill>
            <w14:solidFill>
              <w14:schemeClr w14:val="tx1"/>
            </w14:solidFill>
          </w14:textFill>
        </w:rPr>
      </w:pPr>
      <w:r>
        <w:rPr>
          <w:rFonts w:hint="eastAsia" w:cs="Times New Roman"/>
          <w:color w:val="000000" w:themeColor="text1"/>
          <w:sz w:val="28"/>
          <w:szCs w:val="24"/>
          <w14:textFill>
            <w14:solidFill>
              <w14:schemeClr w14:val="tx1"/>
            </w14:solidFill>
          </w14:textFill>
        </w:rPr>
        <w:t>清流县人民政府</w:t>
      </w:r>
    </w:p>
    <w:p w14:paraId="6B70CCFB">
      <w:pPr>
        <w:ind w:firstLine="0" w:firstLineChars="0"/>
        <w:jc w:val="center"/>
        <w:rPr>
          <w:rFonts w:cs="Times New Roman"/>
          <w:color w:val="000000" w:themeColor="text1"/>
          <w:sz w:val="28"/>
          <w:szCs w:val="24"/>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hapStyle="1"/>
          <w:cols w:space="425" w:num="1"/>
          <w:docGrid w:type="lines" w:linePitch="312" w:charSpace="0"/>
        </w:sectPr>
      </w:pPr>
      <w:r>
        <w:rPr>
          <w:rFonts w:hint="eastAsia" w:cs="Times New Roman"/>
          <w:color w:val="000000" w:themeColor="text1"/>
          <w:sz w:val="28"/>
          <w:szCs w:val="24"/>
          <w14:textFill>
            <w14:solidFill>
              <w14:schemeClr w14:val="tx1"/>
            </w14:solidFill>
          </w14:textFill>
        </w:rPr>
        <w:t>2</w:t>
      </w:r>
      <w:r>
        <w:rPr>
          <w:rFonts w:cs="Times New Roman"/>
          <w:color w:val="000000" w:themeColor="text1"/>
          <w:sz w:val="28"/>
          <w:szCs w:val="24"/>
          <w14:textFill>
            <w14:solidFill>
              <w14:schemeClr w14:val="tx1"/>
            </w14:solidFill>
          </w14:textFill>
        </w:rPr>
        <w:t>0</w:t>
      </w:r>
      <w:r>
        <w:rPr>
          <w:rFonts w:hint="eastAsia" w:cs="Times New Roman"/>
          <w:color w:val="000000" w:themeColor="text1"/>
          <w:sz w:val="28"/>
          <w:szCs w:val="24"/>
          <w14:textFill>
            <w14:solidFill>
              <w14:schemeClr w14:val="tx1"/>
            </w14:solidFill>
          </w14:textFill>
        </w:rPr>
        <w:t>26年4月</w:t>
      </w:r>
    </w:p>
    <w:p w14:paraId="3D6F8AD6">
      <w:pPr>
        <w:pStyle w:val="2"/>
      </w:pPr>
      <w:r>
        <w:rPr>
          <w:rFonts w:hint="eastAsia"/>
        </w:rPr>
        <w:t>前言</w:t>
      </w:r>
    </w:p>
    <w:p w14:paraId="7AB6EC0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为建立健全我县噪声污染防治管理体系，进一步改善和提高声环境质量，依据《中华人民共和国噪声污染防治法》等有关法律、标准和规范要求，结合我县实际，制定本方案。</w:t>
      </w:r>
    </w:p>
    <w:p w14:paraId="1D4E8A8E">
      <w:pPr>
        <w:pStyle w:val="2"/>
      </w:pPr>
      <w:r>
        <w:rPr>
          <w:rFonts w:hint="eastAsia"/>
        </w:rPr>
        <w:t>适用范围</w:t>
      </w:r>
    </w:p>
    <w:p w14:paraId="18B1967B">
      <w:pPr>
        <w:ind w:firstLine="480"/>
        <w:rPr>
          <w:rFonts w:hint="eastAsia" w:ascii="宋体" w:hAnsi="宋体" w:cs="Times New Roman"/>
          <w:color w:val="000000" w:themeColor="text1"/>
          <w:szCs w:val="24"/>
          <w14:textFill>
            <w14:solidFill>
              <w14:schemeClr w14:val="tx1"/>
            </w14:solidFill>
          </w14:textFill>
        </w:rPr>
      </w:pPr>
      <w:r>
        <w:rPr>
          <w:rFonts w:hint="eastAsia" w:ascii="宋体" w:hAnsi="宋体" w:cs="Times New Roman"/>
          <w:color w:val="000000" w:themeColor="text1"/>
          <w:szCs w:val="24"/>
          <w14:textFill>
            <w14:solidFill>
              <w14:schemeClr w14:val="tx1"/>
            </w14:solidFill>
          </w14:textFill>
        </w:rPr>
        <w:t>本次噪声敏感建筑物集中区划定范围为《</w:t>
      </w:r>
      <w:r>
        <w:rPr>
          <w:rFonts w:hint="eastAsia" w:cs="Times New Roman"/>
          <w:color w:val="000000" w:themeColor="text1"/>
          <w14:textFill>
            <w14:solidFill>
              <w14:schemeClr w14:val="tx1"/>
            </w14:solidFill>
          </w14:textFill>
        </w:rPr>
        <w:t>清流县</w:t>
      </w:r>
      <w:r>
        <w:rPr>
          <w:rFonts w:hint="eastAsia" w:ascii="宋体" w:hAnsi="宋体" w:cs="Times New Roman"/>
          <w:color w:val="000000" w:themeColor="text1"/>
          <w:szCs w:val="24"/>
          <w14:textFill>
            <w14:solidFill>
              <w14:schemeClr w14:val="tx1"/>
            </w14:solidFill>
          </w14:textFill>
        </w:rPr>
        <w:t>国土空间总体规划（</w:t>
      </w:r>
      <w:r>
        <w:rPr>
          <w:rFonts w:hint="eastAsia" w:cs="Times New Roman"/>
          <w:color w:val="000000" w:themeColor="text1"/>
          <w:szCs w:val="24"/>
          <w14:textFill>
            <w14:solidFill>
              <w14:schemeClr w14:val="tx1"/>
            </w14:solidFill>
          </w14:textFill>
        </w:rPr>
        <w:t>2021</w:t>
      </w:r>
      <w:r>
        <w:rPr>
          <w:rFonts w:hint="eastAsia" w:ascii="宋体" w:hAnsi="宋体"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2035</w:t>
      </w:r>
      <w:r>
        <w:rPr>
          <w:rFonts w:hint="eastAsia" w:ascii="宋体" w:hAnsi="宋体" w:cs="Times New Roman"/>
          <w:color w:val="000000" w:themeColor="text1"/>
          <w:szCs w:val="24"/>
          <w14:textFill>
            <w14:solidFill>
              <w14:schemeClr w14:val="tx1"/>
            </w14:solidFill>
          </w14:textFill>
        </w:rPr>
        <w:t>年）》确定的清流县中心城区范围，包括龙津镇行政辖区大部分，包括渔沧社区、凤翔社区、屏山社区、长兴社区、翠园社区、桥下村、城东村、城南村、南岐村、供坊村、大路口村、俞坊村，总面积约</w:t>
      </w:r>
      <w:r>
        <w:rPr>
          <w:rFonts w:hint="eastAsia" w:cs="Times New Roman"/>
          <w:color w:val="000000" w:themeColor="text1"/>
          <w:szCs w:val="24"/>
          <w14:textFill>
            <w14:solidFill>
              <w14:schemeClr w14:val="tx1"/>
            </w14:solidFill>
          </w14:textFill>
        </w:rPr>
        <w:t xml:space="preserve">35.23 </w:t>
      </w:r>
      <w:r>
        <w:rPr>
          <w:rFonts w:hint="eastAsia" w:ascii="宋体" w:hAnsi="宋体" w:cs="Times New Roman"/>
          <w:color w:val="000000" w:themeColor="text1"/>
          <w:szCs w:val="24"/>
          <w14:textFill>
            <w14:solidFill>
              <w14:schemeClr w14:val="tx1"/>
            </w14:solidFill>
          </w14:textFill>
        </w:rPr>
        <w:t>平方公里。</w:t>
      </w:r>
    </w:p>
    <w:p w14:paraId="37CEFE7F">
      <w:pPr>
        <w:pStyle w:val="2"/>
      </w:pPr>
      <w:r>
        <w:rPr>
          <w:rFonts w:hint="eastAsia"/>
        </w:rPr>
        <w:t>划定依据</w:t>
      </w:r>
    </w:p>
    <w:p w14:paraId="0469467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（1）《中华人民共和国环境保护法》（</w:t>
      </w:r>
      <w:r>
        <w:rPr>
          <w:rFonts w:cs="Times New Roman"/>
          <w:color w:val="000000" w:themeColor="text1"/>
          <w14:textFill>
            <w14:solidFill>
              <w14:schemeClr w14:val="tx1"/>
            </w14:solidFill>
          </w14:textFill>
        </w:rPr>
        <w:t>2015年1月1日起实施</w:t>
      </w:r>
      <w:r>
        <w:rPr>
          <w:rFonts w:hint="eastAsia" w:cs="Times New Roman"/>
          <w:color w:val="000000" w:themeColor="text1"/>
          <w14:textFill>
            <w14:solidFill>
              <w14:schemeClr w14:val="tx1"/>
            </w14:solidFill>
          </w14:textFill>
        </w:rPr>
        <w:t>）；</w:t>
      </w:r>
    </w:p>
    <w:p w14:paraId="55C0DE4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（2）《中华人民共和国噪声污染防治法》（</w:t>
      </w:r>
      <w:r>
        <w:rPr>
          <w:rFonts w:cs="Times New Roman"/>
          <w:color w:val="000000" w:themeColor="text1"/>
          <w14:textFill>
            <w14:solidFill>
              <w14:schemeClr w14:val="tx1"/>
            </w14:solidFill>
          </w14:textFill>
        </w:rPr>
        <w:t>2022年6月5日起实施</w:t>
      </w:r>
      <w:r>
        <w:rPr>
          <w:rFonts w:hint="eastAsia" w:cs="Times New Roman"/>
          <w:color w:val="000000" w:themeColor="text1"/>
          <w14:textFill>
            <w14:solidFill>
              <w14:schemeClr w14:val="tx1"/>
            </w14:solidFill>
          </w14:textFill>
        </w:rPr>
        <w:t>）；</w:t>
      </w:r>
    </w:p>
    <w:p w14:paraId="5DBED00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《中华人民共和国生态环境法典》</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2026年8月15日</w:t>
      </w:r>
      <w:r>
        <w:rPr>
          <w:rFonts w:hint="eastAsia" w:cs="Times New Roman"/>
          <w:color w:val="000000" w:themeColor="text1"/>
          <w14:textFill>
            <w14:solidFill>
              <w14:schemeClr w14:val="tx1"/>
            </w14:solidFill>
          </w14:textFill>
        </w:rPr>
        <w:t>施行）；</w:t>
      </w:r>
    </w:p>
    <w:p w14:paraId="7C3EA7E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）《“十四五”噪声污染防治行动计划》（环大气〔2023〕1号）；</w:t>
      </w:r>
    </w:p>
    <w:p w14:paraId="0ABB43B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（5）《关于开展第一批噪声污染防治试点（噪声敏感建筑物集中区域划定）工作的通知》（环办便函〔</w:t>
      </w:r>
      <w:r>
        <w:rPr>
          <w:rFonts w:cs="Times New Roman"/>
          <w:color w:val="000000" w:themeColor="text1"/>
          <w14:textFill>
            <w14:solidFill>
              <w14:schemeClr w14:val="tx1"/>
            </w14:solidFill>
          </w14:textFill>
        </w:rPr>
        <w:t>2023</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156</w:t>
      </w:r>
      <w:r>
        <w:rPr>
          <w:rFonts w:hint="eastAsia" w:cs="Times New Roman"/>
          <w:color w:val="000000" w:themeColor="text1"/>
          <w14:textFill>
            <w14:solidFill>
              <w14:schemeClr w14:val="tx1"/>
            </w14:solidFill>
          </w14:textFill>
        </w:rPr>
        <w:t>号）；</w:t>
      </w:r>
    </w:p>
    <w:p w14:paraId="4D20DF4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（6）《福建省噪声污染防治行动方案（2023—2025年）》（闽环保大气〔2023〕7号）；</w:t>
      </w:r>
    </w:p>
    <w:p w14:paraId="01236C6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（7）《三明市噪声污染防治行动实施方案（2023—2025年）》（明环规〔2023〕3号）；</w:t>
      </w:r>
    </w:p>
    <w:p w14:paraId="4703A18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（8）《声环境质量标准》（GB3096—2008）；</w:t>
      </w:r>
    </w:p>
    <w:p w14:paraId="7158DBF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（9）《土地利用现状分类》（GB/T21010—2017）；</w:t>
      </w:r>
    </w:p>
    <w:p w14:paraId="345929B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（10）</w:t>
      </w:r>
      <w:bookmarkStart w:id="0" w:name="OLE_LINK1"/>
      <w:r>
        <w:rPr>
          <w:rFonts w:cs="Times New Roman"/>
          <w:color w:val="000000" w:themeColor="text1"/>
          <w14:textFill>
            <w14:solidFill>
              <w14:schemeClr w14:val="tx1"/>
            </w14:solidFill>
          </w14:textFill>
        </w:rPr>
        <w:t>《国土空间调查、规划、用途管制用地用海分类指南》</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自然资发</w:t>
      </w:r>
      <w:r>
        <w:rPr>
          <w:rFonts w:hint="eastAsia"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2023</w:t>
      </w:r>
      <w:r>
        <w:rPr>
          <w:rFonts w:hint="eastAsia"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234号</w:t>
      </w:r>
      <w:r>
        <w:rPr>
          <w:rFonts w:hint="eastAsia" w:cs="Times New Roman"/>
          <w:color w:val="000000" w:themeColor="text1"/>
          <w14:textFill>
            <w14:solidFill>
              <w14:schemeClr w14:val="tx1"/>
            </w14:solidFill>
          </w14:textFill>
        </w:rPr>
        <w:t>）</w:t>
      </w:r>
      <w:bookmarkEnd w:id="0"/>
      <w:r>
        <w:rPr>
          <w:rFonts w:hint="eastAsia" w:cs="Times New Roman"/>
          <w:color w:val="000000" w:themeColor="text1"/>
          <w14:textFill>
            <w14:solidFill>
              <w14:schemeClr w14:val="tx1"/>
            </w14:solidFill>
          </w14:textFill>
        </w:rPr>
        <w:t>；</w:t>
      </w:r>
    </w:p>
    <w:p w14:paraId="4DF5F172">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（11）《声环境功能区划分技术规范》（GB/T15190—2014）。</w:t>
      </w:r>
    </w:p>
    <w:p w14:paraId="4809815B">
      <w:pPr>
        <w:pStyle w:val="2"/>
      </w:pPr>
      <w:r>
        <w:rPr>
          <w:rFonts w:hint="eastAsia"/>
        </w:rPr>
        <w:t>划定原则</w:t>
      </w:r>
    </w:p>
    <w:p w14:paraId="4C2AF8F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按照《噪声法》第十四条的规定，噪声敏感区域是指用于居住、科学研究、医疗卫生、文化教育、机关团体办公、社会福利等的建筑物为主的区域。本报告划定原则如下：</w:t>
      </w:r>
    </w:p>
    <w:p w14:paraId="279EBE0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（1）现状优先。以用地、建筑物分类和分布现状为优先依据，结合国土空间规划和年度国土调查成果等确定噪声敏感建筑物集中区域。</w:t>
      </w:r>
    </w:p>
    <w:p w14:paraId="0FEBF9C4">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（2）边界清晰。充分利用行政区边界、交通线路、地形边界等划分噪声敏感建筑物集中区域边界。</w:t>
      </w:r>
    </w:p>
    <w:p w14:paraId="6AD9A00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（3）便于管理。噪声敏感建筑物集中区域划定应便于城市噪声污染防治管理。</w:t>
      </w:r>
    </w:p>
    <w:p w14:paraId="7AB8712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（4）适时调整。根据区域城建开发、建筑物实际使用功能调整等情况，适时进行噪声敏感建筑物集中区域调整。</w:t>
      </w:r>
    </w:p>
    <w:p w14:paraId="56BAEAB7">
      <w:pPr>
        <w:pStyle w:val="2"/>
      </w:pPr>
      <w:r>
        <w:rPr>
          <w:rFonts w:hint="eastAsia"/>
        </w:rPr>
        <w:t>划定结果</w:t>
      </w:r>
    </w:p>
    <w:p w14:paraId="349BB8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三明市清流县共划定噪声敏感建筑物集中区域21个，总面积3.5071 </w:t>
      </w:r>
      <w:r>
        <w:rPr>
          <w:color w:val="000000" w:themeColor="text1"/>
          <w14:textFill>
            <w14:solidFill>
              <w14:schemeClr w14:val="tx1"/>
            </w14:solidFill>
          </w14:textFill>
        </w:rPr>
        <w:t>km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，噪声敏感建筑物集中区划定结果见附表、附图。</w:t>
      </w:r>
    </w:p>
    <w:p w14:paraId="11BCBBD9">
      <w:pPr>
        <w:pStyle w:val="2"/>
      </w:pPr>
      <w:r>
        <w:rPr>
          <w:rFonts w:hint="eastAsia"/>
        </w:rPr>
        <w:t>划定说明</w:t>
      </w:r>
    </w:p>
    <w:p w14:paraId="6AB6D159">
      <w:pPr>
        <w:ind w:firstLine="480"/>
      </w:pPr>
      <w:r>
        <w:rPr>
          <w:rFonts w:hint="eastAsia"/>
        </w:rPr>
        <w:t>根据划定结果，针对划定方案中的特殊情况进行说明。</w:t>
      </w:r>
    </w:p>
    <w:p w14:paraId="278BF07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）敏感建筑物集中区域小于0.1平方千米，但位于城区内且噪声敏感建筑物较为集中，将其划定为噪声敏感建筑物集中区域</w:t>
      </w:r>
    </w:p>
    <w:p w14:paraId="3E942BB1">
      <w:pPr>
        <w:ind w:firstLine="480"/>
        <w:rPr>
          <w:color w:val="000000" w:themeColor="text1"/>
          <w14:textFill>
            <w14:solidFill>
              <w14:schemeClr w14:val="tx1"/>
            </w14:solidFill>
          </w14:textFill>
        </w:rPr>
      </w:pPr>
      <w:bookmarkStart w:id="1" w:name="_Hlk224137126"/>
      <w:r>
        <w:rPr>
          <w:rFonts w:hint="eastAsia"/>
          <w:color w:val="000000" w:themeColor="text1"/>
          <w14:textFill>
            <w14:solidFill>
              <w14:schemeClr w14:val="tx1"/>
            </w14:solidFill>
          </w14:textFill>
        </w:rPr>
        <w:t>本次清流县划定面积小于0.1平方千米的4个噪声敏感建筑物集中区域主要分布在：桥下村村民委员会及周边连片居住区</w:t>
      </w:r>
      <w:bookmarkStart w:id="7" w:name="_GoBack"/>
      <w:bookmarkEnd w:id="7"/>
      <w:r>
        <w:rPr>
          <w:rFonts w:hint="eastAsia"/>
          <w:color w:val="000000" w:themeColor="text1"/>
          <w14:textFill>
            <w14:solidFill>
              <w14:schemeClr w14:val="tx1"/>
            </w14:solidFill>
          </w14:textFill>
        </w:rPr>
        <w:t>（JZQ001）、天天佳苑小区（JZQ007）、清流县公安局及周边居住区（JZQ012）、龙津学校（JZQ020），以科教、居住与办公为主，将其划定为噪声敏感建筑物集中区域。</w:t>
      </w:r>
      <w:bookmarkEnd w:id="1"/>
    </w:p>
    <w:tbl>
      <w:tblPr>
        <w:tblStyle w:val="19"/>
        <w:tblW w:w="807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6"/>
        <w:gridCol w:w="4215"/>
      </w:tblGrid>
      <w:tr w14:paraId="398B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55CFCD1">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402840" cy="2066925"/>
                  <wp:effectExtent l="0" t="0" r="0" b="0"/>
                  <wp:docPr id="508591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91924" name="图片 1"/>
                          <pic:cNvPicPr>
                            <a:picLocks noChangeAspect="1"/>
                          </pic:cNvPicPr>
                        </pic:nvPicPr>
                        <pic:blipFill>
                          <a:blip r:embed="rId13"/>
                          <a:stretch>
                            <a:fillRect/>
                          </a:stretch>
                        </pic:blipFill>
                        <pic:spPr>
                          <a:xfrm>
                            <a:off x="0" y="0"/>
                            <a:ext cx="2404323" cy="2067993"/>
                          </a:xfrm>
                          <a:prstGeom prst="rect">
                            <a:avLst/>
                          </a:prstGeom>
                        </pic:spPr>
                      </pic:pic>
                    </a:graphicData>
                  </a:graphic>
                </wp:inline>
              </w:drawing>
            </w:r>
          </w:p>
        </w:tc>
        <w:tc>
          <w:tcPr>
            <w:tcW w:w="4215" w:type="dxa"/>
            <w:tcBorders>
              <w:top w:val="single" w:color="auto" w:sz="4" w:space="0"/>
              <w:left w:val="single" w:color="auto" w:sz="4" w:space="0"/>
              <w:bottom w:val="single" w:color="auto" w:sz="4" w:space="0"/>
              <w:right w:val="single" w:color="auto" w:sz="4" w:space="0"/>
            </w:tcBorders>
          </w:tcPr>
          <w:p w14:paraId="6B5BBDC2">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493010" cy="2152650"/>
                  <wp:effectExtent l="0" t="0" r="2540" b="0"/>
                  <wp:docPr id="1801152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2865" name="图片 1"/>
                          <pic:cNvPicPr>
                            <a:picLocks noChangeAspect="1"/>
                          </pic:cNvPicPr>
                        </pic:nvPicPr>
                        <pic:blipFill>
                          <a:blip r:embed="rId14"/>
                          <a:stretch>
                            <a:fillRect/>
                          </a:stretch>
                        </pic:blipFill>
                        <pic:spPr>
                          <a:xfrm>
                            <a:off x="0" y="0"/>
                            <a:ext cx="2493155" cy="2152754"/>
                          </a:xfrm>
                          <a:prstGeom prst="rect">
                            <a:avLst/>
                          </a:prstGeom>
                        </pic:spPr>
                      </pic:pic>
                    </a:graphicData>
                  </a:graphic>
                </wp:inline>
              </w:drawing>
            </w:r>
          </w:p>
        </w:tc>
      </w:tr>
      <w:tr w14:paraId="5675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CC0A12B">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JZQ001桥下村村民委员会及周边连片居住区，将其划入噪声敏感建筑物集中区域</w:t>
            </w:r>
          </w:p>
        </w:tc>
        <w:tc>
          <w:tcPr>
            <w:tcW w:w="4215" w:type="dxa"/>
            <w:tcBorders>
              <w:top w:val="single" w:color="auto" w:sz="4" w:space="0"/>
              <w:left w:val="single" w:color="auto" w:sz="4" w:space="0"/>
              <w:bottom w:val="single" w:color="auto" w:sz="4" w:space="0"/>
              <w:right w:val="single" w:color="auto" w:sz="4" w:space="0"/>
            </w:tcBorders>
          </w:tcPr>
          <w:p w14:paraId="44F3C264">
            <w:pPr>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JZQ007天天佳苑小区为居住区，清流县移民局等以办公为主，将其划入噪声敏感建筑物集中区域</w:t>
            </w:r>
          </w:p>
        </w:tc>
      </w:tr>
      <w:tr w14:paraId="41DE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DFE8E60">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383790" cy="2057400"/>
                  <wp:effectExtent l="0" t="0" r="0" b="0"/>
                  <wp:docPr id="1145209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09997" name="图片 1"/>
                          <pic:cNvPicPr>
                            <a:picLocks noChangeAspect="1"/>
                          </pic:cNvPicPr>
                        </pic:nvPicPr>
                        <pic:blipFill>
                          <a:blip r:embed="rId15"/>
                          <a:stretch>
                            <a:fillRect/>
                          </a:stretch>
                        </pic:blipFill>
                        <pic:spPr>
                          <a:xfrm>
                            <a:off x="0" y="0"/>
                            <a:ext cx="2385889" cy="2058961"/>
                          </a:xfrm>
                          <a:prstGeom prst="rect">
                            <a:avLst/>
                          </a:prstGeom>
                        </pic:spPr>
                      </pic:pic>
                    </a:graphicData>
                  </a:graphic>
                </wp:inline>
              </w:drawing>
            </w:r>
          </w:p>
        </w:tc>
        <w:tc>
          <w:tcPr>
            <w:tcW w:w="4215" w:type="dxa"/>
            <w:tcBorders>
              <w:top w:val="single" w:color="auto" w:sz="4" w:space="0"/>
              <w:left w:val="single" w:color="auto" w:sz="4" w:space="0"/>
              <w:bottom w:val="single" w:color="auto" w:sz="4" w:space="0"/>
              <w:right w:val="single" w:color="auto" w:sz="4" w:space="0"/>
            </w:tcBorders>
          </w:tcPr>
          <w:p w14:paraId="59A8F57B">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262505" cy="2009775"/>
                  <wp:effectExtent l="0" t="0" r="4445" b="0"/>
                  <wp:docPr id="1334119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19119" name="图片 1"/>
                          <pic:cNvPicPr>
                            <a:picLocks noChangeAspect="1"/>
                          </pic:cNvPicPr>
                        </pic:nvPicPr>
                        <pic:blipFill>
                          <a:blip r:embed="rId16"/>
                          <a:stretch>
                            <a:fillRect/>
                          </a:stretch>
                        </pic:blipFill>
                        <pic:spPr>
                          <a:xfrm>
                            <a:off x="0" y="0"/>
                            <a:ext cx="2266226" cy="2012912"/>
                          </a:xfrm>
                          <a:prstGeom prst="rect">
                            <a:avLst/>
                          </a:prstGeom>
                        </pic:spPr>
                      </pic:pic>
                    </a:graphicData>
                  </a:graphic>
                </wp:inline>
              </w:drawing>
            </w:r>
          </w:p>
        </w:tc>
      </w:tr>
      <w:tr w14:paraId="2122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81EE6B3">
            <w:pPr>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JZQ012清流县公安局、清流县劳动就业中心以办公为主，人才之家、林业新村等为住宅区，将其划入噪声敏感建筑物集中区域</w:t>
            </w:r>
          </w:p>
        </w:tc>
        <w:tc>
          <w:tcPr>
            <w:tcW w:w="4215" w:type="dxa"/>
            <w:tcBorders>
              <w:top w:val="single" w:color="auto" w:sz="4" w:space="0"/>
              <w:left w:val="single" w:color="auto" w:sz="4" w:space="0"/>
              <w:bottom w:val="single" w:color="auto" w:sz="4" w:space="0"/>
              <w:right w:val="single" w:color="auto" w:sz="4" w:space="0"/>
            </w:tcBorders>
          </w:tcPr>
          <w:p w14:paraId="24851927">
            <w:pPr>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JZQ020龙津学校、清流开发区职工文体中心，以科教和办公为主，将其划入噪声敏感建筑物集中区域</w:t>
            </w:r>
          </w:p>
        </w:tc>
      </w:tr>
    </w:tbl>
    <w:p w14:paraId="48C18861">
      <w:pPr>
        <w:ind w:firstLine="0" w:firstLineChars="0"/>
        <w:rPr>
          <w:color w:val="000000" w:themeColor="text1"/>
          <w14:textFill>
            <w14:solidFill>
              <w14:schemeClr w14:val="tx1"/>
            </w14:solidFill>
          </w14:textFill>
        </w:rPr>
      </w:pPr>
    </w:p>
    <w:p w14:paraId="4399D6B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（2）主干道及河流分隔的噪声敏感建筑物集中区域</w:t>
      </w:r>
    </w:p>
    <w:p w14:paraId="7FCE1B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在单元划分过程中，部分单元被主干道、次干道或河流分割，形成多个面积均小于</w:t>
      </w:r>
      <w:r>
        <w:rPr>
          <w:color w:val="000000" w:themeColor="text1"/>
          <w14:textFill>
            <w14:solidFill>
              <w14:schemeClr w14:val="tx1"/>
            </w14:solidFill>
          </w14:textFill>
        </w:rPr>
        <w:t>0.1</w:t>
      </w:r>
      <w:r>
        <w:rPr>
          <w:rFonts w:hint="eastAsia"/>
          <w:color w:val="000000" w:themeColor="text1"/>
          <w14:textFill>
            <w14:solidFill>
              <w14:schemeClr w14:val="tx1"/>
            </w14:solidFill>
          </w14:textFill>
        </w:rPr>
        <w:t>平方千米、但噪声敏感建筑物分布较为集中的区域。清流县实验中学（</w:t>
      </w:r>
      <w:r>
        <w:rPr>
          <w:color w:val="000000" w:themeColor="text1"/>
          <w14:textFill>
            <w14:solidFill>
              <w14:schemeClr w14:val="tx1"/>
            </w14:solidFill>
          </w14:textFill>
        </w:rPr>
        <w:t>JZQ003</w:t>
      </w:r>
      <w:r>
        <w:rPr>
          <w:rFonts w:hint="eastAsia"/>
          <w:color w:val="000000" w:themeColor="text1"/>
          <w14:textFill>
            <w14:solidFill>
              <w14:schemeClr w14:val="tx1"/>
            </w14:solidFill>
          </w14:textFill>
        </w:rPr>
        <w:t>）、翠园社区居住区（</w:t>
      </w:r>
      <w:r>
        <w:rPr>
          <w:color w:val="000000" w:themeColor="text1"/>
          <w14:textFill>
            <w14:solidFill>
              <w14:schemeClr w14:val="tx1"/>
            </w14:solidFill>
          </w14:textFill>
        </w:rPr>
        <w:t>JZQ008</w:t>
      </w:r>
      <w:r>
        <w:rPr>
          <w:rFonts w:hint="eastAsia"/>
          <w:color w:val="000000" w:themeColor="text1"/>
          <w14:textFill>
            <w14:solidFill>
              <w14:schemeClr w14:val="tx1"/>
            </w14:solidFill>
          </w14:textFill>
        </w:rPr>
        <w:t>）即属此类情况，该类区域以科教、居住功能为主，将其划定为噪声敏感建筑物集中区域。</w:t>
      </w:r>
    </w:p>
    <w:tbl>
      <w:tblPr>
        <w:tblStyle w:val="19"/>
        <w:tblW w:w="807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6"/>
        <w:gridCol w:w="4215"/>
      </w:tblGrid>
      <w:tr w14:paraId="017A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2110E0A2">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2254250" cy="2213610"/>
                  <wp:effectExtent l="0" t="0" r="0" b="0"/>
                  <wp:docPr id="538448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48089" name="图片 1"/>
                          <pic:cNvPicPr>
                            <a:picLocks noChangeAspect="1"/>
                          </pic:cNvPicPr>
                        </pic:nvPicPr>
                        <pic:blipFill>
                          <a:blip r:embed="rId17"/>
                          <a:stretch>
                            <a:fillRect/>
                          </a:stretch>
                        </pic:blipFill>
                        <pic:spPr>
                          <a:xfrm>
                            <a:off x="0" y="0"/>
                            <a:ext cx="2269158" cy="2228453"/>
                          </a:xfrm>
                          <a:prstGeom prst="rect">
                            <a:avLst/>
                          </a:prstGeom>
                        </pic:spPr>
                      </pic:pic>
                    </a:graphicData>
                  </a:graphic>
                </wp:inline>
              </w:drawing>
            </w:r>
          </w:p>
        </w:tc>
        <w:tc>
          <w:tcPr>
            <w:tcW w:w="4215" w:type="dxa"/>
            <w:tcBorders>
              <w:top w:val="single" w:color="auto" w:sz="4" w:space="0"/>
              <w:left w:val="single" w:color="auto" w:sz="4" w:space="0"/>
              <w:bottom w:val="single" w:color="auto" w:sz="4" w:space="0"/>
              <w:right w:val="single" w:color="auto" w:sz="4" w:space="0"/>
            </w:tcBorders>
          </w:tcPr>
          <w:p w14:paraId="1F86626C">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539365" cy="2092960"/>
                  <wp:effectExtent l="0" t="0" r="0" b="2540"/>
                  <wp:docPr id="1248307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07814" name="图片 1"/>
                          <pic:cNvPicPr>
                            <a:picLocks noChangeAspect="1"/>
                          </pic:cNvPicPr>
                        </pic:nvPicPr>
                        <pic:blipFill>
                          <a:blip r:embed="rId18"/>
                          <a:stretch>
                            <a:fillRect/>
                          </a:stretch>
                        </pic:blipFill>
                        <pic:spPr>
                          <a:xfrm>
                            <a:off x="0" y="0"/>
                            <a:ext cx="2539365" cy="2092960"/>
                          </a:xfrm>
                          <a:prstGeom prst="rect">
                            <a:avLst/>
                          </a:prstGeom>
                        </pic:spPr>
                      </pic:pic>
                    </a:graphicData>
                  </a:graphic>
                </wp:inline>
              </w:drawing>
            </w:r>
          </w:p>
        </w:tc>
      </w:tr>
      <w:tr w14:paraId="0BB6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55622905">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JZQ003清流县实验中学，以科教为主，</w:t>
            </w:r>
            <w:r>
              <w:rPr>
                <w:rFonts w:cs="Times New Roman"/>
                <w:color w:val="000000" w:themeColor="text1"/>
                <w:kern w:val="0"/>
                <w:sz w:val="21"/>
                <w:szCs w:val="21"/>
                <w14:textFill>
                  <w14:solidFill>
                    <w14:schemeClr w14:val="tx1"/>
                  </w14:solidFill>
                </w14:textFill>
              </w:rPr>
              <w:t>周边被河流环绕分隔，</w:t>
            </w:r>
            <w:r>
              <w:rPr>
                <w:rFonts w:hint="eastAsia" w:cs="Times New Roman"/>
                <w:color w:val="000000" w:themeColor="text1"/>
                <w:kern w:val="0"/>
                <w:sz w:val="21"/>
                <w:szCs w:val="21"/>
                <w14:textFill>
                  <w14:solidFill>
                    <w14:schemeClr w14:val="tx1"/>
                  </w14:solidFill>
                </w14:textFill>
              </w:rPr>
              <w:t>将其划入噪声敏感建筑物集中区域</w:t>
            </w:r>
          </w:p>
        </w:tc>
        <w:tc>
          <w:tcPr>
            <w:tcW w:w="4215" w:type="dxa"/>
            <w:tcBorders>
              <w:top w:val="single" w:color="auto" w:sz="4" w:space="0"/>
              <w:left w:val="single" w:color="auto" w:sz="4" w:space="0"/>
              <w:bottom w:val="single" w:color="auto" w:sz="4" w:space="0"/>
              <w:right w:val="single" w:color="auto" w:sz="4" w:space="0"/>
            </w:tcBorders>
          </w:tcPr>
          <w:p w14:paraId="31CC7524">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JZQ008翠园社区，包括多个住宅区，</w:t>
            </w:r>
            <w:r>
              <w:rPr>
                <w:rFonts w:cs="Times New Roman"/>
                <w:color w:val="000000" w:themeColor="text1"/>
                <w:kern w:val="0"/>
                <w:sz w:val="21"/>
                <w:szCs w:val="21"/>
                <w14:textFill>
                  <w14:solidFill>
                    <w14:schemeClr w14:val="tx1"/>
                  </w14:solidFill>
                </w14:textFill>
              </w:rPr>
              <w:t>周边被河流</w:t>
            </w:r>
            <w:r>
              <w:rPr>
                <w:rFonts w:hint="eastAsia" w:cs="Times New Roman"/>
                <w:color w:val="000000" w:themeColor="text1"/>
                <w:kern w:val="0"/>
                <w:sz w:val="21"/>
                <w:szCs w:val="21"/>
                <w14:textFill>
                  <w14:solidFill>
                    <w14:schemeClr w14:val="tx1"/>
                  </w14:solidFill>
                </w14:textFill>
              </w:rPr>
              <w:t>与道路</w:t>
            </w:r>
            <w:r>
              <w:rPr>
                <w:rFonts w:cs="Times New Roman"/>
                <w:color w:val="000000" w:themeColor="text1"/>
                <w:kern w:val="0"/>
                <w:sz w:val="21"/>
                <w:szCs w:val="21"/>
                <w14:textFill>
                  <w14:solidFill>
                    <w14:schemeClr w14:val="tx1"/>
                  </w14:solidFill>
                </w14:textFill>
              </w:rPr>
              <w:t>分隔</w:t>
            </w:r>
            <w:r>
              <w:rPr>
                <w:rFonts w:hint="eastAsia" w:cs="Times New Roman"/>
                <w:color w:val="000000" w:themeColor="text1"/>
                <w:kern w:val="0"/>
                <w:sz w:val="21"/>
                <w:szCs w:val="21"/>
                <w14:textFill>
                  <w14:solidFill>
                    <w14:schemeClr w14:val="tx1"/>
                  </w14:solidFill>
                </w14:textFill>
              </w:rPr>
              <w:t>，将其划入噪声敏感建筑物集中区域</w:t>
            </w:r>
          </w:p>
        </w:tc>
      </w:tr>
    </w:tbl>
    <w:p w14:paraId="116D420F">
      <w:pPr>
        <w:ind w:firstLine="480"/>
      </w:pPr>
    </w:p>
    <w:p w14:paraId="685D1B64">
      <w:pPr>
        <w:pStyle w:val="2"/>
      </w:pPr>
      <w:r>
        <w:rPr>
          <w:rFonts w:hint="eastAsia"/>
        </w:rPr>
        <w:t>管理规定</w:t>
      </w:r>
    </w:p>
    <w:p w14:paraId="472159AB">
      <w:pPr>
        <w:ind w:firstLine="480"/>
      </w:pPr>
      <w:r>
        <w:rPr>
          <w:rFonts w:hint="eastAsia"/>
        </w:rPr>
        <w:t>（1）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第八十八条的规定执行。</w:t>
      </w:r>
    </w:p>
    <w:p w14:paraId="0A3258FB">
      <w:pPr>
        <w:ind w:firstLine="480"/>
      </w:pPr>
      <w:r>
        <w:rPr>
          <w:rFonts w:hint="eastAsia"/>
        </w:rPr>
        <w:t>（2）噪声敏感建筑物集中区域的噪声污染防治职责分工按照</w:t>
      </w:r>
      <w:r>
        <w:rPr>
          <w:color w:val="000000" w:themeColor="text1"/>
          <w14:textFill>
            <w14:solidFill>
              <w14:schemeClr w14:val="tx1"/>
            </w14:solidFill>
          </w14:textFill>
        </w:rPr>
        <w:t>《三明市人民政府办公室关于印发&lt;中华人民共和国噪声污染防治法&gt;部分条款部门职责分工方案的通知》（明政办〔2022〕42号）</w:t>
      </w:r>
      <w:r>
        <w:rPr>
          <w:rFonts w:hint="eastAsia"/>
          <w:color w:val="000000" w:themeColor="text1"/>
          <w14:textFill>
            <w14:solidFill>
              <w14:schemeClr w14:val="tx1"/>
            </w14:solidFill>
          </w14:textFill>
        </w:rPr>
        <w:t>执行</w:t>
      </w:r>
      <w:r>
        <w:rPr>
          <w:rFonts w:hint="eastAsia"/>
        </w:rPr>
        <w:t>。</w:t>
      </w:r>
    </w:p>
    <w:p w14:paraId="488C58B2">
      <w:pPr>
        <w:ind w:firstLine="480"/>
      </w:pPr>
      <w:r>
        <w:rPr>
          <w:rFonts w:hint="eastAsia"/>
        </w:rPr>
        <w:t>（3）若因建筑物属性、用地性质或规划发生根本变化，可实施动态修编，原则上不超过5年调整一次，调整程序参照划分方法执行。</w:t>
      </w:r>
    </w:p>
    <w:p w14:paraId="2BC64968">
      <w:pPr>
        <w:ind w:firstLine="480"/>
      </w:pPr>
      <w:r>
        <w:rPr>
          <w:rFonts w:hint="eastAsia"/>
        </w:rPr>
        <w:t>（4）本方案未尽事宜，根据有关法律法规和规章等相关规定执行。</w:t>
      </w:r>
    </w:p>
    <w:p w14:paraId="486E556E">
      <w:pPr>
        <w:ind w:firstLine="480"/>
        <w:rPr>
          <w:rFonts w:cs="Times New Roman"/>
          <w:color w:val="000000" w:themeColor="text1"/>
          <w:szCs w:val="24"/>
          <w14:textFill>
            <w14:solidFill>
              <w14:schemeClr w14:val="tx1"/>
            </w14:solidFill>
          </w14:textFill>
        </w:rPr>
      </w:pPr>
    </w:p>
    <w:p w14:paraId="4BD03227">
      <w:pPr>
        <w:ind w:firstLine="480"/>
        <w:rPr>
          <w:rFonts w:cs="Times New Roman"/>
          <w:color w:val="000000" w:themeColor="text1"/>
          <w:szCs w:val="24"/>
          <w14:textFill>
            <w14:solidFill>
              <w14:schemeClr w14:val="tx1"/>
            </w14:solidFill>
          </w14:textFill>
        </w:rPr>
        <w:sectPr>
          <w:footerReference r:id="rId11" w:type="default"/>
          <w:pgSz w:w="11906" w:h="16838"/>
          <w:pgMar w:top="1440" w:right="1800" w:bottom="1440" w:left="1800" w:header="720" w:footer="720" w:gutter="0"/>
          <w:pgNumType w:start="1"/>
          <w:cols w:space="720" w:num="1"/>
          <w:docGrid w:linePitch="326" w:charSpace="0"/>
        </w:sectPr>
      </w:pPr>
    </w:p>
    <w:p w14:paraId="0D20F02B">
      <w:pPr>
        <w:pStyle w:val="2"/>
      </w:pPr>
      <w:r>
        <w:rPr>
          <w:rFonts w:hint="eastAsia"/>
        </w:rPr>
        <w:t>附表</w:t>
      </w:r>
    </w:p>
    <w:p w14:paraId="2F340D3E">
      <w:pPr>
        <w:pStyle w:val="11"/>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清流县噪声敏感建筑物集中区域划定成果统计表</w:t>
      </w:r>
    </w:p>
    <w:tbl>
      <w:tblPr>
        <w:tblStyle w:val="18"/>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2555"/>
        <w:gridCol w:w="8645"/>
        <w:gridCol w:w="1559"/>
      </w:tblGrid>
      <w:tr w14:paraId="49E53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360" w:type="pct"/>
            <w:tcMar>
              <w:top w:w="0" w:type="dxa"/>
              <w:left w:w="0" w:type="dxa"/>
              <w:bottom w:w="0" w:type="dxa"/>
              <w:right w:w="0" w:type="dxa"/>
            </w:tcMar>
            <w:vAlign w:val="center"/>
          </w:tcPr>
          <w:p w14:paraId="056537A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ascii="宋体" w:hAnsi="宋体"/>
                <w:b/>
                <w:bCs/>
                <w:color w:val="000000" w:themeColor="text1"/>
                <w:sz w:val="21"/>
                <w:szCs w:val="21"/>
                <w14:textFill>
                  <w14:solidFill>
                    <w14:schemeClr w14:val="tx1"/>
                  </w14:solidFill>
                </w14:textFill>
              </w:rPr>
              <w:t>集中区域编号</w:t>
            </w:r>
          </w:p>
        </w:tc>
        <w:tc>
          <w:tcPr>
            <w:tcW w:w="929" w:type="pct"/>
            <w:tcMar>
              <w:top w:w="0" w:type="dxa"/>
              <w:left w:w="0" w:type="dxa"/>
              <w:bottom w:w="0" w:type="dxa"/>
              <w:right w:w="0" w:type="dxa"/>
            </w:tcMar>
            <w:vAlign w:val="center"/>
          </w:tcPr>
          <w:p w14:paraId="1713FF5F">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ascii="宋体" w:hAnsi="宋体"/>
                <w:b/>
                <w:bCs/>
                <w:color w:val="000000" w:themeColor="text1"/>
                <w:sz w:val="21"/>
                <w:szCs w:val="21"/>
                <w14:textFill>
                  <w14:solidFill>
                    <w14:schemeClr w14:val="tx1"/>
                  </w14:solidFill>
                </w14:textFill>
              </w:rPr>
              <w:t>集中区域名称</w:t>
            </w:r>
          </w:p>
        </w:tc>
        <w:tc>
          <w:tcPr>
            <w:tcW w:w="3144" w:type="pct"/>
            <w:vAlign w:val="center"/>
          </w:tcPr>
          <w:p w14:paraId="753897D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ascii="宋体" w:hAnsi="宋体"/>
                <w:b/>
                <w:bCs/>
                <w:color w:val="000000" w:themeColor="text1"/>
                <w:sz w:val="21"/>
                <w:szCs w:val="21"/>
                <w14:textFill>
                  <w14:solidFill>
                    <w14:schemeClr w14:val="tx1"/>
                  </w14:solidFill>
                </w14:textFill>
              </w:rPr>
              <w:t>集中区域边界</w:t>
            </w:r>
          </w:p>
        </w:tc>
        <w:tc>
          <w:tcPr>
            <w:tcW w:w="567" w:type="pct"/>
            <w:tcMar>
              <w:top w:w="0" w:type="dxa"/>
              <w:left w:w="0" w:type="dxa"/>
              <w:bottom w:w="0" w:type="dxa"/>
              <w:right w:w="0" w:type="dxa"/>
            </w:tcMar>
            <w:vAlign w:val="center"/>
          </w:tcPr>
          <w:p w14:paraId="17269D2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ascii="宋体" w:hAnsi="宋体"/>
                <w:b/>
                <w:bCs/>
                <w:color w:val="000000" w:themeColor="text1"/>
                <w:sz w:val="21"/>
                <w:szCs w:val="21"/>
                <w14:textFill>
                  <w14:solidFill>
                    <w14:schemeClr w14:val="tx1"/>
                  </w14:solidFill>
                </w14:textFill>
              </w:rPr>
              <w:t>集中区域面积（</w:t>
            </w:r>
            <w:r>
              <w:rPr>
                <w:rFonts w:hint="eastAsia"/>
                <w:b/>
                <w:bCs/>
                <w:color w:val="000000" w:themeColor="text1"/>
                <w:sz w:val="21"/>
                <w:szCs w:val="21"/>
                <w14:textFill>
                  <w14:solidFill>
                    <w14:schemeClr w14:val="tx1"/>
                  </w14:solidFill>
                </w14:textFill>
              </w:rPr>
              <w:t>km</w:t>
            </w:r>
            <w:r>
              <w:rPr>
                <w:rFonts w:hint="eastAsia"/>
                <w:b/>
                <w:bCs/>
                <w:color w:val="000000" w:themeColor="text1"/>
                <w:sz w:val="21"/>
                <w:szCs w:val="21"/>
                <w:vertAlign w:val="superscript"/>
                <w14:textFill>
                  <w14:solidFill>
                    <w14:schemeClr w14:val="tx1"/>
                  </w14:solidFill>
                </w14:textFill>
              </w:rPr>
              <w:t>2</w:t>
            </w:r>
            <w:r>
              <w:rPr>
                <w:rFonts w:ascii="宋体" w:hAnsi="宋体"/>
                <w:b/>
                <w:bCs/>
                <w:color w:val="000000" w:themeColor="text1"/>
                <w:sz w:val="21"/>
                <w:szCs w:val="21"/>
                <w14:textFill>
                  <w14:solidFill>
                    <w14:schemeClr w14:val="tx1"/>
                  </w14:solidFill>
                </w14:textFill>
              </w:rPr>
              <w:t>）</w:t>
            </w:r>
          </w:p>
        </w:tc>
      </w:tr>
      <w:tr w14:paraId="5B099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78E72258">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JZQ001</w:t>
            </w:r>
          </w:p>
        </w:tc>
        <w:tc>
          <w:tcPr>
            <w:tcW w:w="929" w:type="pct"/>
            <w:tcMar>
              <w:top w:w="0" w:type="dxa"/>
              <w:left w:w="0" w:type="dxa"/>
              <w:bottom w:w="0" w:type="dxa"/>
              <w:right w:w="0" w:type="dxa"/>
            </w:tcMar>
            <w:vAlign w:val="center"/>
          </w:tcPr>
          <w:p w14:paraId="561D94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桥下村村委区域</w:t>
            </w:r>
          </w:p>
        </w:tc>
        <w:tc>
          <w:tcPr>
            <w:tcW w:w="3144" w:type="pct"/>
            <w:vAlign w:val="center"/>
          </w:tcPr>
          <w:p w14:paraId="47D17A2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西侧小路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西侧住宅边界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桥下村南侧小路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桥下溪</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北侧林地</w:t>
            </w:r>
          </w:p>
        </w:tc>
        <w:tc>
          <w:tcPr>
            <w:tcW w:w="567" w:type="pct"/>
            <w:noWrap/>
            <w:tcMar>
              <w:top w:w="0" w:type="dxa"/>
              <w:left w:w="0" w:type="dxa"/>
              <w:bottom w:w="0" w:type="dxa"/>
              <w:right w:w="0" w:type="dxa"/>
            </w:tcMar>
            <w:vAlign w:val="center"/>
          </w:tcPr>
          <w:p w14:paraId="4A47A66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0.0787 </w:t>
            </w:r>
          </w:p>
        </w:tc>
      </w:tr>
      <w:tr w14:paraId="3DA59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19419E7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JZQ002</w:t>
            </w:r>
          </w:p>
        </w:tc>
        <w:tc>
          <w:tcPr>
            <w:tcW w:w="929" w:type="pct"/>
            <w:tcMar>
              <w:top w:w="0" w:type="dxa"/>
              <w:left w:w="0" w:type="dxa"/>
              <w:bottom w:w="0" w:type="dxa"/>
              <w:right w:w="0" w:type="dxa"/>
            </w:tcMar>
            <w:vAlign w:val="center"/>
          </w:tcPr>
          <w:p w14:paraId="0568B4B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龙腾御景区域</w:t>
            </w:r>
          </w:p>
        </w:tc>
        <w:tc>
          <w:tcPr>
            <w:tcW w:w="3144" w:type="pct"/>
            <w:vAlign w:val="center"/>
          </w:tcPr>
          <w:p w14:paraId="1CE98B8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西侧林地</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南侧住宅边界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南侧小路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龙腾御景小区南侧边界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桥下溪</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北侧小路</w:t>
            </w:r>
          </w:p>
        </w:tc>
        <w:tc>
          <w:tcPr>
            <w:tcW w:w="567" w:type="pct"/>
            <w:noWrap/>
            <w:tcMar>
              <w:top w:w="0" w:type="dxa"/>
              <w:left w:w="0" w:type="dxa"/>
              <w:bottom w:w="0" w:type="dxa"/>
              <w:right w:w="0" w:type="dxa"/>
            </w:tcMar>
            <w:vAlign w:val="center"/>
          </w:tcPr>
          <w:p w14:paraId="469A729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0.1652 </w:t>
            </w:r>
          </w:p>
        </w:tc>
      </w:tr>
      <w:tr w14:paraId="6B8B1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1451706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w:t>
            </w:r>
            <w:r>
              <w:rPr>
                <w:rFonts w:hint="eastAsia"/>
                <w:color w:val="000000" w:themeColor="text1"/>
                <w:sz w:val="21"/>
                <w:szCs w:val="21"/>
                <w14:textFill>
                  <w14:solidFill>
                    <w14:schemeClr w14:val="tx1"/>
                  </w14:solidFill>
                </w14:textFill>
              </w:rPr>
              <w:t>3</w:t>
            </w:r>
          </w:p>
        </w:tc>
        <w:tc>
          <w:tcPr>
            <w:tcW w:w="929" w:type="pct"/>
            <w:tcMar>
              <w:top w:w="0" w:type="dxa"/>
              <w:left w:w="0" w:type="dxa"/>
              <w:bottom w:w="0" w:type="dxa"/>
              <w:right w:w="0" w:type="dxa"/>
            </w:tcMar>
            <w:vAlign w:val="center"/>
          </w:tcPr>
          <w:p w14:paraId="1350CAC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清流县实验中学区域</w:t>
            </w:r>
          </w:p>
        </w:tc>
        <w:tc>
          <w:tcPr>
            <w:tcW w:w="3144" w:type="pct"/>
            <w:vAlign w:val="center"/>
          </w:tcPr>
          <w:p w14:paraId="1D7FD4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桥下溪</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桥下溪</w:t>
            </w:r>
          </w:p>
        </w:tc>
        <w:tc>
          <w:tcPr>
            <w:tcW w:w="567" w:type="pct"/>
            <w:noWrap/>
            <w:tcMar>
              <w:top w:w="0" w:type="dxa"/>
              <w:left w:w="0" w:type="dxa"/>
              <w:bottom w:w="0" w:type="dxa"/>
              <w:right w:w="0" w:type="dxa"/>
            </w:tcMar>
            <w:vAlign w:val="center"/>
          </w:tcPr>
          <w:p w14:paraId="4C11231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0.0743 </w:t>
            </w:r>
          </w:p>
        </w:tc>
      </w:tr>
      <w:tr w14:paraId="43D27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5269D02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w:t>
            </w:r>
            <w:r>
              <w:rPr>
                <w:rFonts w:hint="eastAsia"/>
                <w:color w:val="000000" w:themeColor="text1"/>
                <w:sz w:val="21"/>
                <w:szCs w:val="21"/>
                <w14:textFill>
                  <w14:solidFill>
                    <w14:schemeClr w14:val="tx1"/>
                  </w14:solidFill>
                </w14:textFill>
              </w:rPr>
              <w:t>4</w:t>
            </w:r>
          </w:p>
        </w:tc>
        <w:tc>
          <w:tcPr>
            <w:tcW w:w="929" w:type="pct"/>
            <w:tcMar>
              <w:top w:w="0" w:type="dxa"/>
              <w:left w:w="0" w:type="dxa"/>
              <w:bottom w:w="0" w:type="dxa"/>
              <w:right w:w="0" w:type="dxa"/>
            </w:tcMar>
            <w:vAlign w:val="center"/>
          </w:tcPr>
          <w:p w14:paraId="406313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九龙明珠区域</w:t>
            </w:r>
          </w:p>
        </w:tc>
        <w:tc>
          <w:tcPr>
            <w:tcW w:w="3144" w:type="pct"/>
            <w:vAlign w:val="center"/>
          </w:tcPr>
          <w:p w14:paraId="33E6691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迎宾大道</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碧林路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北山路</w:t>
            </w:r>
            <w:bookmarkStart w:id="2" w:name="OLE_LINK22"/>
            <w:r>
              <w:rPr>
                <w:rFonts w:cs="Times New Roman"/>
                <w:color w:val="000000" w:themeColor="text1"/>
                <w:sz w:val="21"/>
                <w:szCs w:val="21"/>
                <w14:textFill>
                  <w14:solidFill>
                    <w14:schemeClr w14:val="tx1"/>
                  </w14:solidFill>
                </w14:textFill>
              </w:rPr>
              <w:t>→</w:t>
            </w:r>
            <w:bookmarkEnd w:id="2"/>
            <w:r>
              <w:rPr>
                <w:rFonts w:hint="eastAsia" w:cs="Times New Roman"/>
                <w:color w:val="000000" w:themeColor="text1"/>
                <w:sz w:val="21"/>
                <w:szCs w:val="21"/>
                <w14:textFill>
                  <w14:solidFill>
                    <w14:schemeClr w14:val="tx1"/>
                  </w14:solidFill>
                </w14:textFill>
              </w:rPr>
              <w:t>北山环湖路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九龙明珠东北侧边界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怡景路</w:t>
            </w:r>
          </w:p>
        </w:tc>
        <w:tc>
          <w:tcPr>
            <w:tcW w:w="567" w:type="pct"/>
            <w:noWrap/>
            <w:tcMar>
              <w:top w:w="0" w:type="dxa"/>
              <w:left w:w="0" w:type="dxa"/>
              <w:bottom w:w="0" w:type="dxa"/>
              <w:right w:w="0" w:type="dxa"/>
            </w:tcMar>
            <w:vAlign w:val="center"/>
          </w:tcPr>
          <w:p w14:paraId="295ABEA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0.3099 </w:t>
            </w:r>
          </w:p>
        </w:tc>
      </w:tr>
      <w:tr w14:paraId="51D36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7B9BBA0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w:t>
            </w:r>
            <w:r>
              <w:rPr>
                <w:rFonts w:hint="eastAsia"/>
                <w:color w:val="000000" w:themeColor="text1"/>
                <w:sz w:val="21"/>
                <w:szCs w:val="21"/>
                <w14:textFill>
                  <w14:solidFill>
                    <w14:schemeClr w14:val="tx1"/>
                  </w14:solidFill>
                </w14:textFill>
              </w:rPr>
              <w:t>5</w:t>
            </w:r>
          </w:p>
        </w:tc>
        <w:tc>
          <w:tcPr>
            <w:tcW w:w="929" w:type="pct"/>
            <w:tcMar>
              <w:top w:w="0" w:type="dxa"/>
              <w:left w:w="0" w:type="dxa"/>
              <w:bottom w:w="0" w:type="dxa"/>
              <w:right w:w="0" w:type="dxa"/>
            </w:tcMar>
            <w:vAlign w:val="center"/>
          </w:tcPr>
          <w:p w14:paraId="203DB58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清流县屏山小学区域</w:t>
            </w:r>
          </w:p>
        </w:tc>
        <w:tc>
          <w:tcPr>
            <w:tcW w:w="3144" w:type="pct"/>
            <w:vAlign w:val="center"/>
          </w:tcPr>
          <w:p w14:paraId="7A6AD5D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左仙宫路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屏山路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长兴北街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北大路（G534国道）</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屏山一路</w:t>
            </w:r>
          </w:p>
        </w:tc>
        <w:tc>
          <w:tcPr>
            <w:tcW w:w="567" w:type="pct"/>
            <w:noWrap/>
            <w:tcMar>
              <w:top w:w="0" w:type="dxa"/>
              <w:left w:w="0" w:type="dxa"/>
              <w:bottom w:w="0" w:type="dxa"/>
              <w:right w:w="0" w:type="dxa"/>
            </w:tcMar>
            <w:vAlign w:val="center"/>
          </w:tcPr>
          <w:p w14:paraId="6F9A56F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0.3107 </w:t>
            </w:r>
          </w:p>
        </w:tc>
      </w:tr>
      <w:tr w14:paraId="3E0BF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3570C1E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w:t>
            </w:r>
            <w:r>
              <w:rPr>
                <w:rFonts w:hint="eastAsia"/>
                <w:color w:val="000000" w:themeColor="text1"/>
                <w:sz w:val="21"/>
                <w:szCs w:val="21"/>
                <w14:textFill>
                  <w14:solidFill>
                    <w14:schemeClr w14:val="tx1"/>
                  </w14:solidFill>
                </w14:textFill>
              </w:rPr>
              <w:t>6</w:t>
            </w:r>
          </w:p>
        </w:tc>
        <w:tc>
          <w:tcPr>
            <w:tcW w:w="929" w:type="pct"/>
            <w:tcMar>
              <w:top w:w="0" w:type="dxa"/>
              <w:left w:w="0" w:type="dxa"/>
              <w:bottom w:w="0" w:type="dxa"/>
              <w:right w:w="0" w:type="dxa"/>
            </w:tcMar>
            <w:vAlign w:val="center"/>
          </w:tcPr>
          <w:p w14:paraId="41CC99E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天天佳苑区域</w:t>
            </w:r>
          </w:p>
        </w:tc>
        <w:tc>
          <w:tcPr>
            <w:tcW w:w="3144" w:type="pct"/>
            <w:vAlign w:val="center"/>
          </w:tcPr>
          <w:p w14:paraId="6138457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北大路（G534国道）</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水东路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清流县交通局北侧边界</w:t>
            </w:r>
          </w:p>
        </w:tc>
        <w:tc>
          <w:tcPr>
            <w:tcW w:w="567" w:type="pct"/>
            <w:noWrap/>
            <w:tcMar>
              <w:top w:w="0" w:type="dxa"/>
              <w:left w:w="0" w:type="dxa"/>
              <w:bottom w:w="0" w:type="dxa"/>
              <w:right w:w="0" w:type="dxa"/>
            </w:tcMar>
            <w:vAlign w:val="center"/>
          </w:tcPr>
          <w:p w14:paraId="46CD182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0.0370 </w:t>
            </w:r>
          </w:p>
        </w:tc>
      </w:tr>
      <w:tr w14:paraId="7B2DB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6BD80979">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w:t>
            </w:r>
            <w:r>
              <w:rPr>
                <w:rFonts w:hint="eastAsia"/>
                <w:color w:val="000000" w:themeColor="text1"/>
                <w:sz w:val="21"/>
                <w:szCs w:val="21"/>
                <w14:textFill>
                  <w14:solidFill>
                    <w14:schemeClr w14:val="tx1"/>
                  </w14:solidFill>
                </w14:textFill>
              </w:rPr>
              <w:t>7</w:t>
            </w:r>
          </w:p>
        </w:tc>
        <w:tc>
          <w:tcPr>
            <w:tcW w:w="929" w:type="pct"/>
            <w:tcMar>
              <w:top w:w="0" w:type="dxa"/>
              <w:left w:w="0" w:type="dxa"/>
              <w:bottom w:w="0" w:type="dxa"/>
              <w:right w:w="0" w:type="dxa"/>
            </w:tcMar>
            <w:vAlign w:val="center"/>
          </w:tcPr>
          <w:p w14:paraId="59F04C5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清流县城关中学区域</w:t>
            </w:r>
          </w:p>
        </w:tc>
        <w:tc>
          <w:tcPr>
            <w:tcW w:w="3144" w:type="pct"/>
            <w:vAlign w:val="center"/>
          </w:tcPr>
          <w:p w14:paraId="72AD4FF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水东路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清流佛教协会东侧边界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东侧林地</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清流县城关中学东侧边界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文华新城小区东侧边界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北侧小路</w:t>
            </w:r>
          </w:p>
        </w:tc>
        <w:tc>
          <w:tcPr>
            <w:tcW w:w="567" w:type="pct"/>
            <w:noWrap/>
            <w:tcMar>
              <w:top w:w="0" w:type="dxa"/>
              <w:left w:w="0" w:type="dxa"/>
              <w:bottom w:w="0" w:type="dxa"/>
              <w:right w:w="0" w:type="dxa"/>
            </w:tcMar>
            <w:vAlign w:val="center"/>
          </w:tcPr>
          <w:p w14:paraId="7DE09C1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0.2778 </w:t>
            </w:r>
          </w:p>
        </w:tc>
      </w:tr>
      <w:tr w14:paraId="085F9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241360C1">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JZQ00</w:t>
            </w:r>
            <w:r>
              <w:rPr>
                <w:rFonts w:hint="eastAsia"/>
                <w:color w:val="000000" w:themeColor="text1"/>
                <w:sz w:val="21"/>
                <w:szCs w:val="21"/>
                <w14:textFill>
                  <w14:solidFill>
                    <w14:schemeClr w14:val="tx1"/>
                  </w14:solidFill>
                </w14:textFill>
              </w:rPr>
              <w:t>8</w:t>
            </w:r>
          </w:p>
        </w:tc>
        <w:tc>
          <w:tcPr>
            <w:tcW w:w="929" w:type="pct"/>
            <w:tcMar>
              <w:top w:w="0" w:type="dxa"/>
              <w:left w:w="0" w:type="dxa"/>
              <w:bottom w:w="0" w:type="dxa"/>
              <w:right w:w="0" w:type="dxa"/>
            </w:tcMar>
            <w:vAlign w:val="center"/>
          </w:tcPr>
          <w:p w14:paraId="167388B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翠园社区区域</w:t>
            </w:r>
          </w:p>
        </w:tc>
        <w:tc>
          <w:tcPr>
            <w:tcW w:w="3144" w:type="pct"/>
            <w:vAlign w:val="center"/>
          </w:tcPr>
          <w:p w14:paraId="695145B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长兴北街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翠园前街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水东路</w:t>
            </w:r>
          </w:p>
        </w:tc>
        <w:tc>
          <w:tcPr>
            <w:tcW w:w="567" w:type="pct"/>
            <w:noWrap/>
            <w:tcMar>
              <w:top w:w="0" w:type="dxa"/>
              <w:left w:w="0" w:type="dxa"/>
              <w:bottom w:w="0" w:type="dxa"/>
              <w:right w:w="0" w:type="dxa"/>
            </w:tcMar>
            <w:vAlign w:val="center"/>
          </w:tcPr>
          <w:p w14:paraId="6DEDAC1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0.0721 </w:t>
            </w:r>
          </w:p>
        </w:tc>
      </w:tr>
      <w:tr w14:paraId="53427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56A894C4">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w:t>
            </w:r>
            <w:r>
              <w:rPr>
                <w:rFonts w:hint="eastAsia"/>
                <w:color w:val="000000" w:themeColor="text1"/>
                <w:sz w:val="21"/>
                <w:szCs w:val="21"/>
                <w14:textFill>
                  <w14:solidFill>
                    <w14:schemeClr w14:val="tx1"/>
                  </w14:solidFill>
                </w14:textFill>
              </w:rPr>
              <w:t>09</w:t>
            </w:r>
          </w:p>
        </w:tc>
        <w:tc>
          <w:tcPr>
            <w:tcW w:w="929" w:type="pct"/>
            <w:tcMar>
              <w:top w:w="0" w:type="dxa"/>
              <w:left w:w="0" w:type="dxa"/>
              <w:bottom w:w="0" w:type="dxa"/>
              <w:right w:w="0" w:type="dxa"/>
            </w:tcMar>
            <w:vAlign w:val="center"/>
          </w:tcPr>
          <w:p w14:paraId="1C6006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清流县人民政府区域</w:t>
            </w:r>
          </w:p>
        </w:tc>
        <w:tc>
          <w:tcPr>
            <w:tcW w:w="3144" w:type="pct"/>
            <w:vAlign w:val="center"/>
          </w:tcPr>
          <w:p w14:paraId="2AE870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九龙溪</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龙城街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九龙溪</w:t>
            </w:r>
          </w:p>
        </w:tc>
        <w:tc>
          <w:tcPr>
            <w:tcW w:w="567" w:type="pct"/>
            <w:noWrap/>
            <w:tcMar>
              <w:top w:w="0" w:type="dxa"/>
              <w:left w:w="0" w:type="dxa"/>
              <w:bottom w:w="0" w:type="dxa"/>
              <w:right w:w="0" w:type="dxa"/>
            </w:tcMar>
            <w:vAlign w:val="center"/>
          </w:tcPr>
          <w:p w14:paraId="3226E1A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0.1654 </w:t>
            </w:r>
          </w:p>
        </w:tc>
      </w:tr>
      <w:tr w14:paraId="76DD3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38CE01F0">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JZQ01</w:t>
            </w:r>
            <w:r>
              <w:rPr>
                <w:rFonts w:hint="eastAsia"/>
                <w:color w:val="000000" w:themeColor="text1"/>
                <w:sz w:val="21"/>
                <w:szCs w:val="21"/>
                <w14:textFill>
                  <w14:solidFill>
                    <w14:schemeClr w14:val="tx1"/>
                  </w14:solidFill>
                </w14:textFill>
              </w:rPr>
              <w:t>0</w:t>
            </w:r>
          </w:p>
        </w:tc>
        <w:tc>
          <w:tcPr>
            <w:tcW w:w="929" w:type="pct"/>
            <w:tcMar>
              <w:top w:w="0" w:type="dxa"/>
              <w:left w:w="0" w:type="dxa"/>
              <w:bottom w:w="0" w:type="dxa"/>
              <w:right w:w="0" w:type="dxa"/>
            </w:tcMar>
            <w:vAlign w:val="center"/>
          </w:tcPr>
          <w:p w14:paraId="522D1D8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清流县实验幼儿园区域</w:t>
            </w:r>
          </w:p>
        </w:tc>
        <w:tc>
          <w:tcPr>
            <w:tcW w:w="3144" w:type="pct"/>
            <w:vAlign w:val="center"/>
          </w:tcPr>
          <w:p w14:paraId="27D330A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北山路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常春街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凤翔街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长兴北街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东北侧小路</w:t>
            </w:r>
          </w:p>
        </w:tc>
        <w:tc>
          <w:tcPr>
            <w:tcW w:w="567" w:type="pct"/>
            <w:noWrap/>
            <w:tcMar>
              <w:top w:w="0" w:type="dxa"/>
              <w:left w:w="0" w:type="dxa"/>
              <w:bottom w:w="0" w:type="dxa"/>
              <w:right w:w="0" w:type="dxa"/>
            </w:tcMar>
            <w:vAlign w:val="center"/>
          </w:tcPr>
          <w:p w14:paraId="6BFEDB6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0.1138 </w:t>
            </w:r>
          </w:p>
        </w:tc>
      </w:tr>
      <w:tr w14:paraId="77D29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1F7014F3">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JZQ01</w:t>
            </w:r>
            <w:r>
              <w:rPr>
                <w:rFonts w:hint="eastAsia"/>
                <w:color w:val="000000" w:themeColor="text1"/>
                <w:sz w:val="21"/>
                <w:szCs w:val="21"/>
                <w14:textFill>
                  <w14:solidFill>
                    <w14:schemeClr w14:val="tx1"/>
                  </w14:solidFill>
                </w14:textFill>
              </w:rPr>
              <w:t>1</w:t>
            </w:r>
          </w:p>
        </w:tc>
        <w:tc>
          <w:tcPr>
            <w:tcW w:w="929" w:type="pct"/>
            <w:tcMar>
              <w:top w:w="0" w:type="dxa"/>
              <w:left w:w="0" w:type="dxa"/>
              <w:bottom w:w="0" w:type="dxa"/>
              <w:right w:w="0" w:type="dxa"/>
            </w:tcMar>
            <w:vAlign w:val="center"/>
          </w:tcPr>
          <w:p w14:paraId="29E081F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清流县高级职业中学区域</w:t>
            </w:r>
          </w:p>
        </w:tc>
        <w:tc>
          <w:tcPr>
            <w:tcW w:w="3144" w:type="pct"/>
            <w:vAlign w:val="center"/>
          </w:tcPr>
          <w:p w14:paraId="24E7032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碧林北路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凤翔街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常春街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北山路</w:t>
            </w:r>
          </w:p>
        </w:tc>
        <w:tc>
          <w:tcPr>
            <w:tcW w:w="567" w:type="pct"/>
            <w:noWrap/>
            <w:tcMar>
              <w:top w:w="0" w:type="dxa"/>
              <w:left w:w="0" w:type="dxa"/>
              <w:bottom w:w="0" w:type="dxa"/>
              <w:right w:w="0" w:type="dxa"/>
            </w:tcMar>
            <w:vAlign w:val="center"/>
          </w:tcPr>
          <w:p w14:paraId="4D71A7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0.2175 </w:t>
            </w:r>
          </w:p>
        </w:tc>
      </w:tr>
      <w:tr w14:paraId="3998D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64492682">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JZQ01</w:t>
            </w:r>
            <w:r>
              <w:rPr>
                <w:rFonts w:hint="eastAsia"/>
                <w:color w:val="000000" w:themeColor="text1"/>
                <w:sz w:val="21"/>
                <w:szCs w:val="21"/>
                <w14:textFill>
                  <w14:solidFill>
                    <w14:schemeClr w14:val="tx1"/>
                  </w14:solidFill>
                </w14:textFill>
              </w:rPr>
              <w:t>2</w:t>
            </w:r>
          </w:p>
        </w:tc>
        <w:tc>
          <w:tcPr>
            <w:tcW w:w="929" w:type="pct"/>
            <w:tcMar>
              <w:top w:w="0" w:type="dxa"/>
              <w:left w:w="0" w:type="dxa"/>
              <w:bottom w:w="0" w:type="dxa"/>
              <w:right w:w="0" w:type="dxa"/>
            </w:tcMar>
            <w:vAlign w:val="center"/>
          </w:tcPr>
          <w:p w14:paraId="655736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清流县公安局区域</w:t>
            </w:r>
          </w:p>
        </w:tc>
        <w:tc>
          <w:tcPr>
            <w:tcW w:w="3144" w:type="pct"/>
            <w:vAlign w:val="center"/>
          </w:tcPr>
          <w:p w14:paraId="5DC8F3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留芳路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九龙溪</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九龙桥西侧</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碧林北路</w:t>
            </w:r>
          </w:p>
        </w:tc>
        <w:tc>
          <w:tcPr>
            <w:tcW w:w="567" w:type="pct"/>
            <w:noWrap/>
            <w:tcMar>
              <w:top w:w="0" w:type="dxa"/>
              <w:left w:w="0" w:type="dxa"/>
              <w:bottom w:w="0" w:type="dxa"/>
              <w:right w:w="0" w:type="dxa"/>
            </w:tcMar>
            <w:vAlign w:val="center"/>
          </w:tcPr>
          <w:p w14:paraId="013B863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0.0822 </w:t>
            </w:r>
          </w:p>
        </w:tc>
      </w:tr>
      <w:tr w14:paraId="052B6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382038A9">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w:t>
            </w:r>
            <w:r>
              <w:rPr>
                <w:rFonts w:hint="eastAsia"/>
                <w:color w:val="000000" w:themeColor="text1"/>
                <w:sz w:val="21"/>
                <w:szCs w:val="21"/>
                <w14:textFill>
                  <w14:solidFill>
                    <w14:schemeClr w14:val="tx1"/>
                  </w14:solidFill>
                </w14:textFill>
              </w:rPr>
              <w:t>13</w:t>
            </w:r>
          </w:p>
        </w:tc>
        <w:tc>
          <w:tcPr>
            <w:tcW w:w="929" w:type="pct"/>
            <w:tcMar>
              <w:top w:w="0" w:type="dxa"/>
              <w:left w:w="0" w:type="dxa"/>
              <w:bottom w:w="0" w:type="dxa"/>
              <w:right w:w="0" w:type="dxa"/>
            </w:tcMar>
            <w:vAlign w:val="center"/>
          </w:tcPr>
          <w:p w14:paraId="472A82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清流县第一中学区域</w:t>
            </w:r>
          </w:p>
        </w:tc>
        <w:tc>
          <w:tcPr>
            <w:tcW w:w="3144" w:type="pct"/>
            <w:vAlign w:val="center"/>
          </w:tcPr>
          <w:p w14:paraId="44D8E5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清流第一中学西侧边界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清流第一中学南侧边界</w:t>
            </w:r>
            <w:r>
              <w:rPr>
                <w:rFonts w:cs="Times New Roman"/>
                <w:color w:val="000000" w:themeColor="text1"/>
                <w:sz w:val="21"/>
                <w:szCs w:val="21"/>
                <w14:textFill>
                  <w14:solidFill>
                    <w14:schemeClr w14:val="tx1"/>
                  </w14:solidFill>
                </w14:textFill>
              </w:rPr>
              <w:t>→</w:t>
            </w:r>
            <w:bookmarkStart w:id="3" w:name="OLE_LINK31"/>
            <w:r>
              <w:rPr>
                <w:rFonts w:hint="eastAsia" w:cs="Times New Roman"/>
                <w:color w:val="000000" w:themeColor="text1"/>
                <w:sz w:val="21"/>
                <w:szCs w:val="21"/>
                <w14:textFill>
                  <w14:solidFill>
                    <w14:schemeClr w14:val="tx1"/>
                  </w14:solidFill>
                </w14:textFill>
              </w:rPr>
              <w:t>城南工业路</w:t>
            </w:r>
            <w:r>
              <w:rPr>
                <w:rFonts w:cs="Times New Roman"/>
                <w:color w:val="000000" w:themeColor="text1"/>
                <w:sz w:val="21"/>
                <w:szCs w:val="21"/>
                <w14:textFill>
                  <w14:solidFill>
                    <w14:schemeClr w14:val="tx1"/>
                  </w14:solidFill>
                </w14:textFill>
              </w:rPr>
              <w:t>→</w:t>
            </w:r>
            <w:bookmarkEnd w:id="3"/>
            <w:r>
              <w:rPr>
                <w:rFonts w:hint="eastAsia" w:cs="Times New Roman"/>
                <w:color w:val="000000" w:themeColor="text1"/>
                <w:sz w:val="21"/>
                <w:szCs w:val="21"/>
                <w14:textFill>
                  <w14:solidFill>
                    <w14:schemeClr w14:val="tx1"/>
                  </w14:solidFill>
                </w14:textFill>
              </w:rPr>
              <w:t>留芳路</w:t>
            </w:r>
          </w:p>
        </w:tc>
        <w:tc>
          <w:tcPr>
            <w:tcW w:w="567" w:type="pct"/>
            <w:noWrap/>
            <w:tcMar>
              <w:top w:w="0" w:type="dxa"/>
              <w:left w:w="0" w:type="dxa"/>
              <w:bottom w:w="0" w:type="dxa"/>
              <w:right w:w="0" w:type="dxa"/>
            </w:tcMar>
            <w:vAlign w:val="center"/>
          </w:tcPr>
          <w:p w14:paraId="4FE4BD2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0.1130 </w:t>
            </w:r>
          </w:p>
        </w:tc>
      </w:tr>
      <w:tr w14:paraId="48FF3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6E52453C">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w:t>
            </w:r>
            <w:r>
              <w:rPr>
                <w:rFonts w:hint="eastAsia"/>
                <w:color w:val="000000" w:themeColor="text1"/>
                <w:sz w:val="21"/>
                <w:szCs w:val="21"/>
                <w14:textFill>
                  <w14:solidFill>
                    <w14:schemeClr w14:val="tx1"/>
                  </w14:solidFill>
                </w14:textFill>
              </w:rPr>
              <w:t>14</w:t>
            </w:r>
          </w:p>
        </w:tc>
        <w:tc>
          <w:tcPr>
            <w:tcW w:w="929" w:type="pct"/>
            <w:tcMar>
              <w:top w:w="0" w:type="dxa"/>
              <w:left w:w="0" w:type="dxa"/>
              <w:bottom w:w="0" w:type="dxa"/>
              <w:right w:w="0" w:type="dxa"/>
            </w:tcMar>
            <w:vAlign w:val="center"/>
          </w:tcPr>
          <w:p w14:paraId="6536F4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盛世鑫城区域</w:t>
            </w:r>
          </w:p>
        </w:tc>
        <w:tc>
          <w:tcPr>
            <w:tcW w:w="3144" w:type="pct"/>
            <w:vAlign w:val="center"/>
          </w:tcPr>
          <w:p w14:paraId="084512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城南工业路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南侧小路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盛世鑫城小区东侧边界</w:t>
            </w:r>
            <w:bookmarkStart w:id="4" w:name="OLE_LINK32"/>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留芳路</w:t>
            </w:r>
            <w:bookmarkEnd w:id="4"/>
          </w:p>
        </w:tc>
        <w:tc>
          <w:tcPr>
            <w:tcW w:w="567" w:type="pct"/>
            <w:noWrap/>
            <w:tcMar>
              <w:top w:w="0" w:type="dxa"/>
              <w:left w:w="0" w:type="dxa"/>
              <w:bottom w:w="0" w:type="dxa"/>
              <w:right w:w="0" w:type="dxa"/>
            </w:tcMar>
            <w:vAlign w:val="center"/>
          </w:tcPr>
          <w:p w14:paraId="5CF668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0.1029 </w:t>
            </w:r>
          </w:p>
        </w:tc>
      </w:tr>
      <w:tr w14:paraId="2448B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02400DEC">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JZQ015</w:t>
            </w:r>
          </w:p>
        </w:tc>
        <w:tc>
          <w:tcPr>
            <w:tcW w:w="929" w:type="pct"/>
            <w:tcMar>
              <w:top w:w="0" w:type="dxa"/>
              <w:left w:w="0" w:type="dxa"/>
              <w:bottom w:w="0" w:type="dxa"/>
              <w:right w:w="0" w:type="dxa"/>
            </w:tcMar>
            <w:vAlign w:val="center"/>
          </w:tcPr>
          <w:p w14:paraId="6E62C32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清流县总医院区域</w:t>
            </w:r>
          </w:p>
        </w:tc>
        <w:tc>
          <w:tcPr>
            <w:tcW w:w="3144" w:type="pct"/>
            <w:vAlign w:val="center"/>
          </w:tcPr>
          <w:p w14:paraId="5DE6177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凤翔街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碧林南路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长兴中街</w:t>
            </w:r>
          </w:p>
        </w:tc>
        <w:tc>
          <w:tcPr>
            <w:tcW w:w="567" w:type="pct"/>
            <w:noWrap/>
            <w:tcMar>
              <w:top w:w="0" w:type="dxa"/>
              <w:left w:w="0" w:type="dxa"/>
              <w:bottom w:w="0" w:type="dxa"/>
              <w:right w:w="0" w:type="dxa"/>
            </w:tcMar>
            <w:vAlign w:val="center"/>
          </w:tcPr>
          <w:p w14:paraId="5F1E64A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0.1953 </w:t>
            </w:r>
          </w:p>
        </w:tc>
      </w:tr>
      <w:tr w14:paraId="14BDD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15B736A7">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JZQ016</w:t>
            </w:r>
          </w:p>
        </w:tc>
        <w:tc>
          <w:tcPr>
            <w:tcW w:w="929" w:type="pct"/>
            <w:tcMar>
              <w:top w:w="0" w:type="dxa"/>
              <w:left w:w="0" w:type="dxa"/>
              <w:bottom w:w="0" w:type="dxa"/>
              <w:right w:w="0" w:type="dxa"/>
            </w:tcMar>
            <w:vAlign w:val="center"/>
          </w:tcPr>
          <w:p w14:paraId="30B86E4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清流绿园小区区域</w:t>
            </w:r>
          </w:p>
        </w:tc>
        <w:tc>
          <w:tcPr>
            <w:tcW w:w="3144" w:type="pct"/>
            <w:vAlign w:val="center"/>
          </w:tcPr>
          <w:p w14:paraId="2E6A4EF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长兴中街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碧林东路</w:t>
            </w:r>
          </w:p>
        </w:tc>
        <w:tc>
          <w:tcPr>
            <w:tcW w:w="567" w:type="pct"/>
            <w:noWrap/>
            <w:tcMar>
              <w:top w:w="0" w:type="dxa"/>
              <w:left w:w="0" w:type="dxa"/>
              <w:bottom w:w="0" w:type="dxa"/>
              <w:right w:w="0" w:type="dxa"/>
            </w:tcMar>
            <w:vAlign w:val="center"/>
          </w:tcPr>
          <w:p w14:paraId="3F6418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0.1080 </w:t>
            </w:r>
          </w:p>
        </w:tc>
      </w:tr>
      <w:tr w14:paraId="13835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5199E12A">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JZQ01</w:t>
            </w:r>
            <w:r>
              <w:rPr>
                <w:rFonts w:hint="eastAsia"/>
                <w:color w:val="000000" w:themeColor="text1"/>
                <w:sz w:val="21"/>
                <w:szCs w:val="21"/>
                <w14:textFill>
                  <w14:solidFill>
                    <w14:schemeClr w14:val="tx1"/>
                  </w14:solidFill>
                </w14:textFill>
              </w:rPr>
              <w:t>7</w:t>
            </w:r>
          </w:p>
        </w:tc>
        <w:tc>
          <w:tcPr>
            <w:tcW w:w="929" w:type="pct"/>
            <w:tcMar>
              <w:top w:w="0" w:type="dxa"/>
              <w:left w:w="0" w:type="dxa"/>
              <w:bottom w:w="0" w:type="dxa"/>
              <w:right w:w="0" w:type="dxa"/>
            </w:tcMar>
            <w:vAlign w:val="center"/>
          </w:tcPr>
          <w:p w14:paraId="175FEB8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清流县行政服务中心区域</w:t>
            </w:r>
          </w:p>
        </w:tc>
        <w:tc>
          <w:tcPr>
            <w:tcW w:w="3144" w:type="pct"/>
            <w:vAlign w:val="center"/>
          </w:tcPr>
          <w:p w14:paraId="55DBDA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水南街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水南路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南侧住宅边界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朝阳路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龙城街</w:t>
            </w:r>
          </w:p>
        </w:tc>
        <w:tc>
          <w:tcPr>
            <w:tcW w:w="567" w:type="pct"/>
            <w:noWrap/>
            <w:tcMar>
              <w:top w:w="0" w:type="dxa"/>
              <w:left w:w="0" w:type="dxa"/>
              <w:bottom w:w="0" w:type="dxa"/>
              <w:right w:w="0" w:type="dxa"/>
            </w:tcMar>
            <w:vAlign w:val="center"/>
          </w:tcPr>
          <w:p w14:paraId="6E58A5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0.1825 </w:t>
            </w:r>
          </w:p>
        </w:tc>
      </w:tr>
      <w:tr w14:paraId="674A1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2FA4D3EE">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w:t>
            </w:r>
            <w:r>
              <w:rPr>
                <w:rFonts w:hint="eastAsia"/>
                <w:color w:val="000000" w:themeColor="text1"/>
                <w:sz w:val="21"/>
                <w:szCs w:val="21"/>
                <w14:textFill>
                  <w14:solidFill>
                    <w14:schemeClr w14:val="tx1"/>
                  </w14:solidFill>
                </w14:textFill>
              </w:rPr>
              <w:t>18</w:t>
            </w:r>
          </w:p>
        </w:tc>
        <w:tc>
          <w:tcPr>
            <w:tcW w:w="929" w:type="pct"/>
            <w:tcMar>
              <w:top w:w="0" w:type="dxa"/>
              <w:left w:w="0" w:type="dxa"/>
              <w:bottom w:w="0" w:type="dxa"/>
              <w:right w:w="0" w:type="dxa"/>
            </w:tcMar>
            <w:vAlign w:val="center"/>
          </w:tcPr>
          <w:p w14:paraId="61632D2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龙津华府区域</w:t>
            </w:r>
          </w:p>
        </w:tc>
        <w:tc>
          <w:tcPr>
            <w:tcW w:w="3144" w:type="pct"/>
            <w:vAlign w:val="center"/>
          </w:tcPr>
          <w:p w14:paraId="34C8D76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长兴南街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清流县老气枪厂东侧厂界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东侧住宅区边界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永顺路</w:t>
            </w:r>
          </w:p>
        </w:tc>
        <w:tc>
          <w:tcPr>
            <w:tcW w:w="567" w:type="pct"/>
            <w:noWrap/>
            <w:tcMar>
              <w:top w:w="0" w:type="dxa"/>
              <w:left w:w="0" w:type="dxa"/>
              <w:bottom w:w="0" w:type="dxa"/>
              <w:right w:w="0" w:type="dxa"/>
            </w:tcMar>
            <w:vAlign w:val="center"/>
          </w:tcPr>
          <w:p w14:paraId="17FCBC9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0.3894 </w:t>
            </w:r>
          </w:p>
        </w:tc>
      </w:tr>
      <w:tr w14:paraId="0012B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21B896B4">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w:t>
            </w:r>
            <w:r>
              <w:rPr>
                <w:rFonts w:hint="eastAsia"/>
                <w:color w:val="000000" w:themeColor="text1"/>
                <w:sz w:val="21"/>
                <w:szCs w:val="21"/>
                <w14:textFill>
                  <w14:solidFill>
                    <w14:schemeClr w14:val="tx1"/>
                  </w14:solidFill>
                </w14:textFill>
              </w:rPr>
              <w:t>19</w:t>
            </w:r>
          </w:p>
        </w:tc>
        <w:tc>
          <w:tcPr>
            <w:tcW w:w="929" w:type="pct"/>
            <w:tcMar>
              <w:top w:w="0" w:type="dxa"/>
              <w:left w:w="0" w:type="dxa"/>
              <w:bottom w:w="0" w:type="dxa"/>
              <w:right w:w="0" w:type="dxa"/>
            </w:tcMar>
            <w:vAlign w:val="center"/>
          </w:tcPr>
          <w:p w14:paraId="417A40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龙津镇人民政府区域</w:t>
            </w:r>
          </w:p>
        </w:tc>
        <w:tc>
          <w:tcPr>
            <w:tcW w:w="3144" w:type="pct"/>
            <w:vAlign w:val="center"/>
          </w:tcPr>
          <w:p w14:paraId="0A0FD2B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清流县铜锣山公园东侧边界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规划道路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长兴南街</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留芳路</w:t>
            </w:r>
          </w:p>
        </w:tc>
        <w:tc>
          <w:tcPr>
            <w:tcW w:w="567" w:type="pct"/>
            <w:noWrap/>
            <w:tcMar>
              <w:top w:w="0" w:type="dxa"/>
              <w:left w:w="0" w:type="dxa"/>
              <w:bottom w:w="0" w:type="dxa"/>
              <w:right w:w="0" w:type="dxa"/>
            </w:tcMar>
            <w:vAlign w:val="center"/>
          </w:tcPr>
          <w:p w14:paraId="1C1279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0.2110 </w:t>
            </w:r>
          </w:p>
        </w:tc>
      </w:tr>
      <w:tr w14:paraId="5FF10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698204DF">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w:t>
            </w:r>
            <w:r>
              <w:rPr>
                <w:rFonts w:hint="eastAsia"/>
                <w:color w:val="000000" w:themeColor="text1"/>
                <w:sz w:val="21"/>
                <w:szCs w:val="21"/>
                <w14:textFill>
                  <w14:solidFill>
                    <w14:schemeClr w14:val="tx1"/>
                  </w14:solidFill>
                </w14:textFill>
              </w:rPr>
              <w:t>20</w:t>
            </w:r>
          </w:p>
        </w:tc>
        <w:tc>
          <w:tcPr>
            <w:tcW w:w="929" w:type="pct"/>
            <w:tcMar>
              <w:top w:w="0" w:type="dxa"/>
              <w:left w:w="0" w:type="dxa"/>
              <w:bottom w:w="0" w:type="dxa"/>
              <w:right w:w="0" w:type="dxa"/>
            </w:tcMar>
            <w:vAlign w:val="center"/>
          </w:tcPr>
          <w:p w14:paraId="3C01C43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龙津学校区域</w:t>
            </w:r>
          </w:p>
        </w:tc>
        <w:tc>
          <w:tcPr>
            <w:tcW w:w="3144" w:type="pct"/>
            <w:vAlign w:val="center"/>
          </w:tcPr>
          <w:p w14:paraId="2AD24ED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城南工业路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规划道路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龙津学校东侧边界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龙津学校北侧边界</w:t>
            </w:r>
          </w:p>
        </w:tc>
        <w:tc>
          <w:tcPr>
            <w:tcW w:w="567" w:type="pct"/>
            <w:noWrap/>
            <w:tcMar>
              <w:top w:w="0" w:type="dxa"/>
              <w:left w:w="0" w:type="dxa"/>
              <w:bottom w:w="0" w:type="dxa"/>
              <w:right w:w="0" w:type="dxa"/>
            </w:tcMar>
            <w:vAlign w:val="center"/>
          </w:tcPr>
          <w:p w14:paraId="6127A9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0.0898 </w:t>
            </w:r>
          </w:p>
        </w:tc>
      </w:tr>
      <w:tr w14:paraId="13A99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0" w:type="pct"/>
            <w:noWrap/>
            <w:tcMar>
              <w:top w:w="0" w:type="dxa"/>
              <w:left w:w="0" w:type="dxa"/>
              <w:bottom w:w="0" w:type="dxa"/>
              <w:right w:w="0" w:type="dxa"/>
            </w:tcMar>
            <w:vAlign w:val="center"/>
          </w:tcPr>
          <w:p w14:paraId="3C76DDFC">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JZQ0</w:t>
            </w:r>
            <w:r>
              <w:rPr>
                <w:rFonts w:hint="eastAsia"/>
                <w:color w:val="000000" w:themeColor="text1"/>
                <w:sz w:val="21"/>
                <w:szCs w:val="21"/>
                <w14:textFill>
                  <w14:solidFill>
                    <w14:schemeClr w14:val="tx1"/>
                  </w14:solidFill>
                </w14:textFill>
              </w:rPr>
              <w:t>21</w:t>
            </w:r>
          </w:p>
        </w:tc>
        <w:tc>
          <w:tcPr>
            <w:tcW w:w="929" w:type="pct"/>
            <w:tcMar>
              <w:top w:w="0" w:type="dxa"/>
              <w:left w:w="0" w:type="dxa"/>
              <w:bottom w:w="0" w:type="dxa"/>
              <w:right w:w="0" w:type="dxa"/>
            </w:tcMar>
            <w:vAlign w:val="center"/>
          </w:tcPr>
          <w:p w14:paraId="372EE5B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凤凰城区域</w:t>
            </w:r>
          </w:p>
        </w:tc>
        <w:tc>
          <w:tcPr>
            <w:tcW w:w="3144" w:type="pct"/>
            <w:vAlign w:val="center"/>
          </w:tcPr>
          <w:p w14:paraId="1D2F56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城南工业路</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人工湖边界</w:t>
            </w:r>
            <w:bookmarkStart w:id="5" w:name="OLE_LINK36"/>
            <w:r>
              <w:rPr>
                <w:rFonts w:cs="Times New Roman"/>
                <w:color w:val="000000" w:themeColor="text1"/>
                <w:sz w:val="21"/>
                <w:szCs w:val="21"/>
                <w14:textFill>
                  <w14:solidFill>
                    <w14:schemeClr w14:val="tx1"/>
                  </w14:solidFill>
                </w14:textFill>
              </w:rPr>
              <w:t>→</w:t>
            </w:r>
            <w:bookmarkEnd w:id="5"/>
            <w:r>
              <w:rPr>
                <w:rFonts w:hint="eastAsia" w:cs="Times New Roman"/>
                <w:color w:val="000000" w:themeColor="text1"/>
                <w:sz w:val="21"/>
                <w:szCs w:val="21"/>
                <w14:textFill>
                  <w14:solidFill>
                    <w14:schemeClr w14:val="tx1"/>
                  </w14:solidFill>
                </w14:textFill>
              </w:rPr>
              <w:t>国际城南侧边界</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规划道路</w:t>
            </w:r>
          </w:p>
        </w:tc>
        <w:tc>
          <w:tcPr>
            <w:tcW w:w="567" w:type="pct"/>
            <w:noWrap/>
            <w:tcMar>
              <w:top w:w="0" w:type="dxa"/>
              <w:left w:w="0" w:type="dxa"/>
              <w:bottom w:w="0" w:type="dxa"/>
              <w:right w:w="0" w:type="dxa"/>
            </w:tcMar>
            <w:vAlign w:val="center"/>
          </w:tcPr>
          <w:p w14:paraId="3C21CE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0.2106 </w:t>
            </w:r>
          </w:p>
        </w:tc>
      </w:tr>
    </w:tbl>
    <w:p w14:paraId="4871FEFC">
      <w:pPr>
        <w:pStyle w:val="11"/>
        <w:ind w:firstLine="482"/>
        <w:rPr>
          <w:color w:val="000000" w:themeColor="text1"/>
          <w14:textFill>
            <w14:solidFill>
              <w14:schemeClr w14:val="tx1"/>
            </w14:solidFill>
          </w14:textFill>
        </w:rPr>
      </w:pPr>
    </w:p>
    <w:p w14:paraId="584FD320">
      <w:pPr>
        <w:ind w:firstLine="480"/>
        <w:rPr>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14:paraId="64C5931F">
      <w:pPr>
        <w:pStyle w:val="2"/>
      </w:pPr>
      <w:bookmarkStart w:id="6" w:name="_Toc214026948"/>
      <w:r>
        <w:rPr>
          <w:rFonts w:hint="eastAsia"/>
        </w:rPr>
        <w:t>附图</w:t>
      </w:r>
      <w:bookmarkEnd w:id="6"/>
    </w:p>
    <w:p w14:paraId="7196D0EF">
      <w:pPr>
        <w:ind w:firstLine="0" w:firstLineChars="0"/>
        <w:jc w:val="center"/>
      </w:pPr>
      <w:r>
        <w:drawing>
          <wp:inline distT="0" distB="0" distL="0" distR="0">
            <wp:extent cx="8401050" cy="11893550"/>
            <wp:effectExtent l="19050" t="19050" r="19050" b="12700"/>
            <wp:docPr id="133283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79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404776" cy="11898706"/>
                    </a:xfrm>
                    <a:prstGeom prst="rect">
                      <a:avLst/>
                    </a:prstGeom>
                    <a:noFill/>
                    <a:ln>
                      <a:solidFill>
                        <a:schemeClr val="tx1"/>
                      </a:solidFill>
                    </a:ln>
                  </pic:spPr>
                </pic:pic>
              </a:graphicData>
            </a:graphic>
          </wp:inline>
        </w:drawing>
      </w:r>
      <w:r>
        <w:drawing>
          <wp:inline distT="0" distB="0" distL="0" distR="0">
            <wp:extent cx="8082915" cy="11442700"/>
            <wp:effectExtent l="19050" t="19050" r="13335" b="25400"/>
            <wp:docPr id="16836679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67958"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088458" cy="11450892"/>
                    </a:xfrm>
                    <a:prstGeom prst="rect">
                      <a:avLst/>
                    </a:prstGeom>
                    <a:noFill/>
                    <a:ln>
                      <a:solidFill>
                        <a:schemeClr val="tx1"/>
                      </a:solidFill>
                    </a:ln>
                  </pic:spPr>
                </pic:pic>
              </a:graphicData>
            </a:graphic>
          </wp:inline>
        </w:drawing>
      </w:r>
    </w:p>
    <w:p w14:paraId="6BFF6073">
      <w:pPr>
        <w:ind w:firstLine="0" w:firstLineChars="0"/>
        <w:jc w:val="center"/>
      </w:pPr>
    </w:p>
    <w:sectPr>
      <w:pgSz w:w="16838" w:h="23811"/>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57703">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EA618">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6F62E">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0776676"/>
    </w:sdtPr>
    <w:sdtContent>
      <w:p w14:paraId="28AF92A2">
        <w:pPr>
          <w:pStyle w:val="12"/>
          <w:ind w:firstLine="360"/>
          <w:jc w:val="center"/>
        </w:pPr>
        <w:r>
          <w:fldChar w:fldCharType="begin"/>
        </w:r>
        <w:r>
          <w:instrText xml:space="preserve">PAGE   \* MERGEFORMAT</w:instrText>
        </w:r>
        <w:r>
          <w:fldChar w:fldCharType="separate"/>
        </w:r>
        <w:r>
          <w:rPr>
            <w:lang w:val="zh-CN"/>
          </w:rPr>
          <w:t>2</w:t>
        </w:r>
        <w:r>
          <w:fldChar w:fldCharType="end"/>
        </w:r>
      </w:p>
    </w:sdtContent>
  </w:sdt>
  <w:p w14:paraId="72992345">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8BF9F">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5ED0F">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A323E">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481435"/>
    <w:multiLevelType w:val="multilevel"/>
    <w:tmpl w:val="3E481435"/>
    <w:lvl w:ilvl="0" w:tentative="0">
      <w:start w:val="1"/>
      <w:numFmt w:val="decimal"/>
      <w:pStyle w:val="2"/>
      <w:lvlText w:val="%1"/>
      <w:lvlJc w:val="left"/>
      <w:pPr>
        <w:ind w:left="0" w:firstLine="0"/>
      </w:pPr>
      <w:rPr>
        <w:rFonts w:hint="default" w:ascii="Times New Roman" w:hAnsi="Times New Roman" w:eastAsia="黑体"/>
        <w:sz w:val="36"/>
      </w:rPr>
    </w:lvl>
    <w:lvl w:ilvl="1" w:tentative="0">
      <w:start w:val="1"/>
      <w:numFmt w:val="decimal"/>
      <w:pStyle w:val="3"/>
      <w:suff w:val="space"/>
      <w:lvlText w:val="%1.%2"/>
      <w:lvlJc w:val="left"/>
      <w:pPr>
        <w:ind w:left="0" w:firstLine="0"/>
      </w:pPr>
      <w:rPr>
        <w:rFonts w:hint="default" w:ascii="Times New Roman" w:hAnsi="Times New Roman" w:eastAsia="楷体"/>
        <w:sz w:val="32"/>
      </w:rPr>
    </w:lvl>
    <w:lvl w:ilvl="2" w:tentative="0">
      <w:start w:val="1"/>
      <w:numFmt w:val="decimal"/>
      <w:pStyle w:val="4"/>
      <w:lvlText w:val="%1.%2.%3"/>
      <w:lvlJc w:val="left"/>
      <w:pPr>
        <w:ind w:left="0" w:firstLine="0"/>
      </w:pPr>
      <w:rPr>
        <w:rFonts w:hint="default" w:ascii="Times New Roman" w:hAnsi="Times New Roman" w:eastAsia="宋体"/>
        <w:sz w:val="28"/>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587"/>
    <w:rsid w:val="00001FB0"/>
    <w:rsid w:val="00035005"/>
    <w:rsid w:val="00057FBC"/>
    <w:rsid w:val="00062EEE"/>
    <w:rsid w:val="00066544"/>
    <w:rsid w:val="00081C4A"/>
    <w:rsid w:val="00091F1B"/>
    <w:rsid w:val="000946EB"/>
    <w:rsid w:val="000A20B8"/>
    <w:rsid w:val="000A69E6"/>
    <w:rsid w:val="000A6AB3"/>
    <w:rsid w:val="000B686D"/>
    <w:rsid w:val="000D123E"/>
    <w:rsid w:val="000D1FA1"/>
    <w:rsid w:val="000D6F46"/>
    <w:rsid w:val="000E7ADA"/>
    <w:rsid w:val="000F4082"/>
    <w:rsid w:val="000F6FD2"/>
    <w:rsid w:val="00123ADB"/>
    <w:rsid w:val="00127693"/>
    <w:rsid w:val="00131189"/>
    <w:rsid w:val="00133A68"/>
    <w:rsid w:val="00154475"/>
    <w:rsid w:val="00155C4B"/>
    <w:rsid w:val="00160692"/>
    <w:rsid w:val="00170ECE"/>
    <w:rsid w:val="001727F6"/>
    <w:rsid w:val="0017574A"/>
    <w:rsid w:val="00180291"/>
    <w:rsid w:val="001A75E5"/>
    <w:rsid w:val="001C21D9"/>
    <w:rsid w:val="001C3FA1"/>
    <w:rsid w:val="001D166A"/>
    <w:rsid w:val="001D6522"/>
    <w:rsid w:val="001E38D7"/>
    <w:rsid w:val="001E390A"/>
    <w:rsid w:val="001E6A51"/>
    <w:rsid w:val="001F1D6F"/>
    <w:rsid w:val="00201164"/>
    <w:rsid w:val="00220F6E"/>
    <w:rsid w:val="00224FD9"/>
    <w:rsid w:val="00230759"/>
    <w:rsid w:val="00236447"/>
    <w:rsid w:val="0023678E"/>
    <w:rsid w:val="0023703B"/>
    <w:rsid w:val="00263106"/>
    <w:rsid w:val="00294993"/>
    <w:rsid w:val="002A6CA8"/>
    <w:rsid w:val="002C02BF"/>
    <w:rsid w:val="002C66D7"/>
    <w:rsid w:val="002D26B1"/>
    <w:rsid w:val="002E1AEC"/>
    <w:rsid w:val="002E4FF4"/>
    <w:rsid w:val="002E60E9"/>
    <w:rsid w:val="002E6B75"/>
    <w:rsid w:val="002F6A38"/>
    <w:rsid w:val="0030290D"/>
    <w:rsid w:val="00311608"/>
    <w:rsid w:val="00311E1D"/>
    <w:rsid w:val="0031591D"/>
    <w:rsid w:val="00321B53"/>
    <w:rsid w:val="00351104"/>
    <w:rsid w:val="00356DB0"/>
    <w:rsid w:val="00361006"/>
    <w:rsid w:val="00363301"/>
    <w:rsid w:val="00370DA0"/>
    <w:rsid w:val="00375473"/>
    <w:rsid w:val="003778DA"/>
    <w:rsid w:val="00386110"/>
    <w:rsid w:val="003943E4"/>
    <w:rsid w:val="00394853"/>
    <w:rsid w:val="003A2FAC"/>
    <w:rsid w:val="003A3244"/>
    <w:rsid w:val="003B7E92"/>
    <w:rsid w:val="003E1108"/>
    <w:rsid w:val="004038EF"/>
    <w:rsid w:val="00415E98"/>
    <w:rsid w:val="004369E2"/>
    <w:rsid w:val="00460D01"/>
    <w:rsid w:val="00463F41"/>
    <w:rsid w:val="00466587"/>
    <w:rsid w:val="00466628"/>
    <w:rsid w:val="00466C41"/>
    <w:rsid w:val="0049380D"/>
    <w:rsid w:val="004C1275"/>
    <w:rsid w:val="004D15B7"/>
    <w:rsid w:val="004F1409"/>
    <w:rsid w:val="00516843"/>
    <w:rsid w:val="0054369D"/>
    <w:rsid w:val="00546A92"/>
    <w:rsid w:val="00551988"/>
    <w:rsid w:val="00570279"/>
    <w:rsid w:val="00574B11"/>
    <w:rsid w:val="00584D09"/>
    <w:rsid w:val="00586128"/>
    <w:rsid w:val="00590642"/>
    <w:rsid w:val="005A418E"/>
    <w:rsid w:val="005A6463"/>
    <w:rsid w:val="005C1055"/>
    <w:rsid w:val="005C4CFE"/>
    <w:rsid w:val="005C67F2"/>
    <w:rsid w:val="005C6AC0"/>
    <w:rsid w:val="005C7702"/>
    <w:rsid w:val="005D21E2"/>
    <w:rsid w:val="005F1249"/>
    <w:rsid w:val="005F46D7"/>
    <w:rsid w:val="00603FE3"/>
    <w:rsid w:val="0060467B"/>
    <w:rsid w:val="00615F07"/>
    <w:rsid w:val="00621144"/>
    <w:rsid w:val="00627AF7"/>
    <w:rsid w:val="00630200"/>
    <w:rsid w:val="006347AB"/>
    <w:rsid w:val="00647346"/>
    <w:rsid w:val="00653A49"/>
    <w:rsid w:val="006601CB"/>
    <w:rsid w:val="00662488"/>
    <w:rsid w:val="006746C3"/>
    <w:rsid w:val="00680E23"/>
    <w:rsid w:val="00683458"/>
    <w:rsid w:val="006C25CF"/>
    <w:rsid w:val="006C7D63"/>
    <w:rsid w:val="006D1F62"/>
    <w:rsid w:val="006F0CD9"/>
    <w:rsid w:val="006F2BF6"/>
    <w:rsid w:val="006F4039"/>
    <w:rsid w:val="00702486"/>
    <w:rsid w:val="00704FDB"/>
    <w:rsid w:val="00710C44"/>
    <w:rsid w:val="00711E3A"/>
    <w:rsid w:val="007204B1"/>
    <w:rsid w:val="0072275E"/>
    <w:rsid w:val="00723F45"/>
    <w:rsid w:val="0072665B"/>
    <w:rsid w:val="00727487"/>
    <w:rsid w:val="00730B72"/>
    <w:rsid w:val="0074067D"/>
    <w:rsid w:val="00740A51"/>
    <w:rsid w:val="00743450"/>
    <w:rsid w:val="00747296"/>
    <w:rsid w:val="00753F9E"/>
    <w:rsid w:val="00763B70"/>
    <w:rsid w:val="00774990"/>
    <w:rsid w:val="007923B0"/>
    <w:rsid w:val="007A37BF"/>
    <w:rsid w:val="007A4F1D"/>
    <w:rsid w:val="007B27DB"/>
    <w:rsid w:val="007B6EE6"/>
    <w:rsid w:val="007B7C80"/>
    <w:rsid w:val="007C6B1C"/>
    <w:rsid w:val="007D13B5"/>
    <w:rsid w:val="007D3B87"/>
    <w:rsid w:val="007D70A3"/>
    <w:rsid w:val="007E1393"/>
    <w:rsid w:val="007E3EE1"/>
    <w:rsid w:val="007E6DF9"/>
    <w:rsid w:val="007F1DD9"/>
    <w:rsid w:val="00805F4B"/>
    <w:rsid w:val="00807F29"/>
    <w:rsid w:val="00811E46"/>
    <w:rsid w:val="00816249"/>
    <w:rsid w:val="00822A1F"/>
    <w:rsid w:val="00852AC2"/>
    <w:rsid w:val="0085662D"/>
    <w:rsid w:val="00861BEC"/>
    <w:rsid w:val="0087598A"/>
    <w:rsid w:val="008803ED"/>
    <w:rsid w:val="00881F1A"/>
    <w:rsid w:val="008A729A"/>
    <w:rsid w:val="008D2583"/>
    <w:rsid w:val="008E5AD4"/>
    <w:rsid w:val="008F0F86"/>
    <w:rsid w:val="009107C1"/>
    <w:rsid w:val="009152E4"/>
    <w:rsid w:val="00924C9C"/>
    <w:rsid w:val="0093241E"/>
    <w:rsid w:val="00932BCE"/>
    <w:rsid w:val="00944B8F"/>
    <w:rsid w:val="0095115E"/>
    <w:rsid w:val="00952539"/>
    <w:rsid w:val="00955328"/>
    <w:rsid w:val="0097100E"/>
    <w:rsid w:val="00977F7C"/>
    <w:rsid w:val="0099197E"/>
    <w:rsid w:val="009A2FE3"/>
    <w:rsid w:val="009B2EB2"/>
    <w:rsid w:val="009B4092"/>
    <w:rsid w:val="009C5D73"/>
    <w:rsid w:val="009E0175"/>
    <w:rsid w:val="009E34A0"/>
    <w:rsid w:val="00A1482C"/>
    <w:rsid w:val="00A20124"/>
    <w:rsid w:val="00A24D31"/>
    <w:rsid w:val="00A27F94"/>
    <w:rsid w:val="00A33F47"/>
    <w:rsid w:val="00A41907"/>
    <w:rsid w:val="00A4614D"/>
    <w:rsid w:val="00A53EEA"/>
    <w:rsid w:val="00A56D7E"/>
    <w:rsid w:val="00A56F71"/>
    <w:rsid w:val="00A60821"/>
    <w:rsid w:val="00A678ED"/>
    <w:rsid w:val="00AA2C8A"/>
    <w:rsid w:val="00AE59EF"/>
    <w:rsid w:val="00AE7E15"/>
    <w:rsid w:val="00AF1E69"/>
    <w:rsid w:val="00B072FC"/>
    <w:rsid w:val="00B26C83"/>
    <w:rsid w:val="00B54231"/>
    <w:rsid w:val="00B663F3"/>
    <w:rsid w:val="00B73039"/>
    <w:rsid w:val="00B87243"/>
    <w:rsid w:val="00B872CD"/>
    <w:rsid w:val="00BA02ED"/>
    <w:rsid w:val="00BA221B"/>
    <w:rsid w:val="00BA3855"/>
    <w:rsid w:val="00BA4DD5"/>
    <w:rsid w:val="00BA7E34"/>
    <w:rsid w:val="00BC223D"/>
    <w:rsid w:val="00BC462E"/>
    <w:rsid w:val="00BE0DF5"/>
    <w:rsid w:val="00BF5673"/>
    <w:rsid w:val="00C00134"/>
    <w:rsid w:val="00C01850"/>
    <w:rsid w:val="00C10DC2"/>
    <w:rsid w:val="00C14F60"/>
    <w:rsid w:val="00C15082"/>
    <w:rsid w:val="00C17BFD"/>
    <w:rsid w:val="00C27D79"/>
    <w:rsid w:val="00C3070E"/>
    <w:rsid w:val="00C33AA8"/>
    <w:rsid w:val="00C35645"/>
    <w:rsid w:val="00C40F80"/>
    <w:rsid w:val="00C57767"/>
    <w:rsid w:val="00C61067"/>
    <w:rsid w:val="00C6781A"/>
    <w:rsid w:val="00C715A3"/>
    <w:rsid w:val="00C775D7"/>
    <w:rsid w:val="00CA34F9"/>
    <w:rsid w:val="00CB1421"/>
    <w:rsid w:val="00CB3C75"/>
    <w:rsid w:val="00CB3FED"/>
    <w:rsid w:val="00CB77B1"/>
    <w:rsid w:val="00CC34AF"/>
    <w:rsid w:val="00CD1D24"/>
    <w:rsid w:val="00CE1645"/>
    <w:rsid w:val="00CE1725"/>
    <w:rsid w:val="00CE576D"/>
    <w:rsid w:val="00D01A75"/>
    <w:rsid w:val="00D10FA0"/>
    <w:rsid w:val="00D127D0"/>
    <w:rsid w:val="00D33551"/>
    <w:rsid w:val="00D37342"/>
    <w:rsid w:val="00D413D3"/>
    <w:rsid w:val="00D43E70"/>
    <w:rsid w:val="00D50586"/>
    <w:rsid w:val="00D517B6"/>
    <w:rsid w:val="00D543DB"/>
    <w:rsid w:val="00D631B5"/>
    <w:rsid w:val="00D65318"/>
    <w:rsid w:val="00D66CF7"/>
    <w:rsid w:val="00D7028E"/>
    <w:rsid w:val="00D7566E"/>
    <w:rsid w:val="00D82BFC"/>
    <w:rsid w:val="00D94BCB"/>
    <w:rsid w:val="00DA064D"/>
    <w:rsid w:val="00DB24A8"/>
    <w:rsid w:val="00DB6CC6"/>
    <w:rsid w:val="00DD1981"/>
    <w:rsid w:val="00DD65DE"/>
    <w:rsid w:val="00E10BD9"/>
    <w:rsid w:val="00E16821"/>
    <w:rsid w:val="00E17EAC"/>
    <w:rsid w:val="00E21DDA"/>
    <w:rsid w:val="00E26D58"/>
    <w:rsid w:val="00E40A90"/>
    <w:rsid w:val="00E474C7"/>
    <w:rsid w:val="00E546FA"/>
    <w:rsid w:val="00E74AFA"/>
    <w:rsid w:val="00E77EEC"/>
    <w:rsid w:val="00E810EE"/>
    <w:rsid w:val="00EA47F1"/>
    <w:rsid w:val="00EA6095"/>
    <w:rsid w:val="00EB46C8"/>
    <w:rsid w:val="00ED6ABD"/>
    <w:rsid w:val="00F06DC6"/>
    <w:rsid w:val="00F14C5F"/>
    <w:rsid w:val="00F20655"/>
    <w:rsid w:val="00F23CF1"/>
    <w:rsid w:val="00F40E22"/>
    <w:rsid w:val="00F51A83"/>
    <w:rsid w:val="00F567E7"/>
    <w:rsid w:val="00F7111B"/>
    <w:rsid w:val="00F74C49"/>
    <w:rsid w:val="00F8604A"/>
    <w:rsid w:val="00FA1C5E"/>
    <w:rsid w:val="00FA79D9"/>
    <w:rsid w:val="00FB4B27"/>
    <w:rsid w:val="00FC58FE"/>
    <w:rsid w:val="00FD0F30"/>
    <w:rsid w:val="00FD28F5"/>
    <w:rsid w:val="00FD2DE7"/>
    <w:rsid w:val="00FE0233"/>
    <w:rsid w:val="00FE31FC"/>
    <w:rsid w:val="00FE53A2"/>
    <w:rsid w:val="00FE54F4"/>
    <w:rsid w:val="00FF05C4"/>
    <w:rsid w:val="2EC32F94"/>
    <w:rsid w:val="56D65E5A"/>
    <w:rsid w:val="62355747"/>
    <w:rsid w:val="79BE1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2"/>
    <w:qFormat/>
    <w:uiPriority w:val="9"/>
    <w:pPr>
      <w:keepNext/>
      <w:keepLines/>
      <w:numPr>
        <w:ilvl w:val="0"/>
        <w:numId w:val="1"/>
      </w:numPr>
      <w:spacing w:before="240" w:after="240"/>
      <w:ind w:firstLineChars="0"/>
      <w:outlineLvl w:val="0"/>
    </w:pPr>
    <w:rPr>
      <w:rFonts w:eastAsia="黑体" w:cstheme="majorBidi"/>
      <w:b/>
      <w:color w:val="000000" w:themeColor="text1"/>
      <w:sz w:val="36"/>
      <w:szCs w:val="48"/>
      <w14:textFill>
        <w14:solidFill>
          <w14:schemeClr w14:val="tx1"/>
        </w14:solidFill>
      </w14:textFill>
    </w:rPr>
  </w:style>
  <w:style w:type="paragraph" w:styleId="3">
    <w:name w:val="heading 2"/>
    <w:basedOn w:val="1"/>
    <w:next w:val="1"/>
    <w:link w:val="23"/>
    <w:unhideWhenUsed/>
    <w:qFormat/>
    <w:uiPriority w:val="9"/>
    <w:pPr>
      <w:keepNext/>
      <w:keepLines/>
      <w:numPr>
        <w:ilvl w:val="1"/>
        <w:numId w:val="1"/>
      </w:numPr>
      <w:spacing w:before="240" w:after="240"/>
      <w:ind w:firstLineChars="0"/>
      <w:outlineLvl w:val="1"/>
    </w:pPr>
    <w:rPr>
      <w:rFonts w:eastAsia="楷体" w:cstheme="majorBidi"/>
      <w:b/>
      <w:color w:val="000000" w:themeColor="text1"/>
      <w:sz w:val="32"/>
      <w:szCs w:val="40"/>
      <w14:textFill>
        <w14:solidFill>
          <w14:schemeClr w14:val="tx1"/>
        </w14:solidFill>
      </w14:textFill>
    </w:rPr>
  </w:style>
  <w:style w:type="paragraph" w:styleId="4">
    <w:name w:val="heading 3"/>
    <w:basedOn w:val="1"/>
    <w:next w:val="1"/>
    <w:link w:val="24"/>
    <w:unhideWhenUsed/>
    <w:qFormat/>
    <w:uiPriority w:val="9"/>
    <w:pPr>
      <w:keepNext/>
      <w:keepLines/>
      <w:numPr>
        <w:ilvl w:val="2"/>
        <w:numId w:val="1"/>
      </w:numPr>
      <w:spacing w:before="160" w:after="160"/>
      <w:ind w:firstLineChars="0"/>
      <w:outlineLvl w:val="2"/>
    </w:pPr>
    <w:rPr>
      <w:rFonts w:cstheme="majorBidi"/>
      <w:b/>
      <w:color w:val="000000" w:themeColor="text1"/>
      <w:sz w:val="28"/>
      <w:szCs w:val="32"/>
      <w14:textFill>
        <w14:solidFill>
          <w14:schemeClr w14:val="tx1"/>
        </w14:solidFill>
      </w14:textFill>
    </w:rPr>
  </w:style>
  <w:style w:type="paragraph" w:styleId="5">
    <w:name w:val="heading 4"/>
    <w:basedOn w:val="1"/>
    <w:next w:val="1"/>
    <w:link w:val="25"/>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6"/>
    <w:semiHidden/>
    <w:unhideWhenUsed/>
    <w:qFormat/>
    <w:uiPriority w:val="9"/>
    <w:pPr>
      <w:keepNext/>
      <w:keepLines/>
      <w:spacing w:before="80" w:after="40"/>
      <w:outlineLvl w:val="4"/>
    </w:pPr>
    <w:rPr>
      <w:rFonts w:cstheme="majorBidi"/>
      <w:color w:val="104862" w:themeColor="accent1" w:themeShade="BF"/>
      <w:szCs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35"/>
    <w:pPr>
      <w:jc w:val="center"/>
    </w:pPr>
    <w:rPr>
      <w:rFonts w:cstheme="majorBidi"/>
      <w:b/>
      <w:szCs w:val="20"/>
    </w:rPr>
  </w:style>
  <w:style w:type="paragraph" w:styleId="12">
    <w:name w:val="footer"/>
    <w:basedOn w:val="1"/>
    <w:link w:val="40"/>
    <w:unhideWhenUsed/>
    <w:qFormat/>
    <w:uiPriority w:val="99"/>
    <w:pPr>
      <w:tabs>
        <w:tab w:val="center" w:pos="4153"/>
        <w:tab w:val="right" w:pos="8306"/>
      </w:tabs>
      <w:snapToGrid w:val="0"/>
      <w:ind w:firstLine="480"/>
      <w:jc w:val="left"/>
    </w:pPr>
    <w:rPr>
      <w:sz w:val="18"/>
      <w:szCs w:val="18"/>
    </w:rPr>
  </w:style>
  <w:style w:type="paragraph" w:styleId="13">
    <w:name w:val="header"/>
    <w:basedOn w:val="1"/>
    <w:link w:val="41"/>
    <w:unhideWhenUsed/>
    <w:qFormat/>
    <w:uiPriority w:val="99"/>
    <w:pPr>
      <w:tabs>
        <w:tab w:val="center" w:pos="4153"/>
        <w:tab w:val="right" w:pos="8306"/>
      </w:tabs>
      <w:snapToGrid w:val="0"/>
      <w:spacing w:line="240" w:lineRule="auto"/>
      <w:jc w:val="center"/>
    </w:pPr>
    <w:rPr>
      <w:sz w:val="18"/>
      <w:szCs w:val="18"/>
    </w:rPr>
  </w:style>
  <w:style w:type="paragraph" w:styleId="14">
    <w:name w:val="toc 1"/>
    <w:basedOn w:val="1"/>
    <w:next w:val="1"/>
    <w:autoRedefine/>
    <w:unhideWhenUsed/>
    <w:qFormat/>
    <w:uiPriority w:val="39"/>
    <w:pPr>
      <w:ind w:firstLine="0" w:firstLineChars="0"/>
    </w:pPr>
    <w:rPr>
      <w:b/>
    </w:rPr>
  </w:style>
  <w:style w:type="paragraph" w:styleId="15">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autoRedefine/>
    <w:unhideWhenUsed/>
    <w:qFormat/>
    <w:uiPriority w:val="39"/>
  </w:style>
  <w:style w:type="paragraph" w:styleId="17">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467886" w:themeColor="hyperlink"/>
      <w:u w:val="single"/>
      <w14:textFill>
        <w14:solidFill>
          <w14:schemeClr w14:val="hlink"/>
        </w14:solidFill>
      </w14:textFill>
    </w:rPr>
  </w:style>
  <w:style w:type="character" w:customStyle="1" w:styleId="22">
    <w:name w:val="标题 1 字符"/>
    <w:basedOn w:val="20"/>
    <w:link w:val="2"/>
    <w:qFormat/>
    <w:uiPriority w:val="9"/>
    <w:rPr>
      <w:rFonts w:ascii="Times New Roman" w:hAnsi="Times New Roman" w:eastAsia="黑体" w:cstheme="majorBidi"/>
      <w:b/>
      <w:color w:val="000000" w:themeColor="text1"/>
      <w:sz w:val="36"/>
      <w:szCs w:val="48"/>
      <w14:textFill>
        <w14:solidFill>
          <w14:schemeClr w14:val="tx1"/>
        </w14:solidFill>
      </w14:textFill>
    </w:rPr>
  </w:style>
  <w:style w:type="character" w:customStyle="1" w:styleId="23">
    <w:name w:val="标题 2 字符"/>
    <w:basedOn w:val="20"/>
    <w:link w:val="3"/>
    <w:qFormat/>
    <w:uiPriority w:val="9"/>
    <w:rPr>
      <w:rFonts w:ascii="Times New Roman" w:hAnsi="Times New Roman" w:eastAsia="楷体" w:cstheme="majorBidi"/>
      <w:b/>
      <w:color w:val="000000" w:themeColor="text1"/>
      <w:sz w:val="32"/>
      <w:szCs w:val="40"/>
      <w14:textFill>
        <w14:solidFill>
          <w14:schemeClr w14:val="tx1"/>
        </w14:solidFill>
      </w14:textFill>
    </w:rPr>
  </w:style>
  <w:style w:type="character" w:customStyle="1" w:styleId="24">
    <w:name w:val="标题 3 字符"/>
    <w:basedOn w:val="20"/>
    <w:link w:val="4"/>
    <w:qFormat/>
    <w:uiPriority w:val="9"/>
    <w:rPr>
      <w:rFonts w:ascii="Times New Roman" w:hAnsi="Times New Roman" w:eastAsia="宋体" w:cstheme="majorBidi"/>
      <w:b/>
      <w:color w:val="000000" w:themeColor="text1"/>
      <w:sz w:val="28"/>
      <w:szCs w:val="32"/>
      <w14:textFill>
        <w14:solidFill>
          <w14:schemeClr w14:val="tx1"/>
        </w14:solidFill>
      </w14:textFill>
    </w:rPr>
  </w:style>
  <w:style w:type="character" w:customStyle="1" w:styleId="25">
    <w:name w:val="标题 4 字符"/>
    <w:basedOn w:val="20"/>
    <w:link w:val="5"/>
    <w:semiHidden/>
    <w:qFormat/>
    <w:uiPriority w:val="9"/>
    <w:rPr>
      <w:rFonts w:cstheme="majorBidi"/>
      <w:color w:val="104862" w:themeColor="accent1" w:themeShade="BF"/>
      <w:sz w:val="28"/>
      <w:szCs w:val="28"/>
    </w:rPr>
  </w:style>
  <w:style w:type="character" w:customStyle="1" w:styleId="26">
    <w:name w:val="标题 5 字符"/>
    <w:basedOn w:val="20"/>
    <w:link w:val="6"/>
    <w:semiHidden/>
    <w:qFormat/>
    <w:uiPriority w:val="9"/>
    <w:rPr>
      <w:rFonts w:cstheme="majorBidi"/>
      <w:color w:val="104862" w:themeColor="accent1" w:themeShade="BF"/>
      <w:sz w:val="24"/>
      <w:szCs w:val="24"/>
    </w:rPr>
  </w:style>
  <w:style w:type="character" w:customStyle="1" w:styleId="27">
    <w:name w:val="标题 6 字符"/>
    <w:basedOn w:val="20"/>
    <w:link w:val="7"/>
    <w:semiHidden/>
    <w:qFormat/>
    <w:uiPriority w:val="9"/>
    <w:rPr>
      <w:rFonts w:cstheme="majorBidi"/>
      <w:b/>
      <w:bCs/>
      <w:color w:val="104862" w:themeColor="accent1" w:themeShade="BF"/>
    </w:rPr>
  </w:style>
  <w:style w:type="character" w:customStyle="1" w:styleId="28">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20"/>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明显强调1"/>
    <w:basedOn w:val="20"/>
    <w:qFormat/>
    <w:uiPriority w:val="21"/>
    <w:rPr>
      <w:i/>
      <w:iCs/>
      <w:color w:val="104862" w:themeColor="accent1" w:themeShade="BF"/>
    </w:rPr>
  </w:style>
  <w:style w:type="paragraph" w:styleId="37">
    <w:name w:val="Intense Quote"/>
    <w:basedOn w:val="1"/>
    <w:next w:val="1"/>
    <w:link w:val="38"/>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明显引用 字符"/>
    <w:basedOn w:val="20"/>
    <w:link w:val="37"/>
    <w:qFormat/>
    <w:uiPriority w:val="30"/>
    <w:rPr>
      <w:i/>
      <w:iCs/>
      <w:color w:val="104862" w:themeColor="accent1" w:themeShade="BF"/>
    </w:rPr>
  </w:style>
  <w:style w:type="character" w:customStyle="1" w:styleId="39">
    <w:name w:val="明显参考1"/>
    <w:basedOn w:val="20"/>
    <w:qFormat/>
    <w:uiPriority w:val="32"/>
    <w:rPr>
      <w:b/>
      <w:bCs/>
      <w:smallCaps/>
      <w:color w:val="104862" w:themeColor="accent1" w:themeShade="BF"/>
      <w:spacing w:val="5"/>
    </w:rPr>
  </w:style>
  <w:style w:type="character" w:customStyle="1" w:styleId="40">
    <w:name w:val="页脚 字符"/>
    <w:basedOn w:val="20"/>
    <w:link w:val="12"/>
    <w:qFormat/>
    <w:uiPriority w:val="99"/>
    <w:rPr>
      <w:rFonts w:ascii="Times New Roman" w:hAnsi="Times New Roman" w:eastAsia="宋体"/>
      <w:sz w:val="18"/>
      <w:szCs w:val="18"/>
    </w:rPr>
  </w:style>
  <w:style w:type="character" w:customStyle="1" w:styleId="41">
    <w:name w:val="页眉 字符"/>
    <w:basedOn w:val="20"/>
    <w:link w:val="13"/>
    <w:qFormat/>
    <w:uiPriority w:val="99"/>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030FD-9E4E-46BC-877F-F5DF63DBF713}">
  <ds:schemaRefs/>
</ds:datastoreItem>
</file>

<file path=docProps/app.xml><?xml version="1.0" encoding="utf-8"?>
<Properties xmlns="http://schemas.openxmlformats.org/officeDocument/2006/extended-properties" xmlns:vt="http://schemas.openxmlformats.org/officeDocument/2006/docPropsVTypes">
  <Template>Normal.dotm</Template>
  <Pages>9</Pages>
  <Words>1896</Words>
  <Characters>2072</Characters>
  <Lines>22</Lines>
  <Paragraphs>6</Paragraphs>
  <TotalTime>1</TotalTime>
  <ScaleCrop>false</ScaleCrop>
  <LinksUpToDate>false</LinksUpToDate>
  <CharactersWithSpaces>2075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2026-04-16T06:44:00Z</dcterms:created>
  <dc:creator>Ruoping WU</dc:creator>
  <cp:lastModifiedBy>一颗小白菜菜菜</cp:lastModifiedBy>
  <cp:lastPrinted>2025-12-04T01:35:00Z</cp:lastPrinted>
  <dcterms:modified xsi:type="dcterms:W3CDTF">2026-04-21T03:12:49Z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eyJoZGlkIjoiNTI2NTY0NzY3YzkxMTQ5MWU0MWZiYTkxYzkxMzliOGQiLCJ1c2VySWQiOiI0NzA3NTU2MTEifQ==</vt:lpwstr>
  </property>
  <property fmtid="{D5CDD505-2E9C-101B-9397-08002B2CF9AE}" pid="3" name="KSOProductBuildVer">
    <vt:lpwstr>2052-12.1.0.25865</vt:lpwstr>
  </property>
  <property fmtid="{D5CDD505-2E9C-101B-9397-08002B2CF9AE}" pid="4" name="ICV">
    <vt:lpwstr>A5AB5FA4F5C74CC3BA9C4F9CA7980E45_12</vt:lpwstr>
  </property>
</Properties>
</file>