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047419">
      <w:pPr>
        <w:pStyle w:val="10"/>
        <w:pageBreakBefore w:val="0"/>
        <w:kinsoku/>
        <w:wordWrap/>
        <w:overflowPunct/>
        <w:topLinePunct w:val="0"/>
        <w:bidi w:val="0"/>
        <w:snapToGrid/>
        <w:spacing w:line="520" w:lineRule="exact"/>
        <w:textAlignment w:val="auto"/>
        <w:rPr>
          <w:rFonts w:hint="eastAsia" w:ascii="黑体" w:hAnsi="黑体" w:eastAsia="黑体" w:cs="黑体"/>
          <w:b w:val="0"/>
          <w:bCs/>
          <w:lang w:eastAsia="zh-CN"/>
        </w:rPr>
      </w:pPr>
    </w:p>
    <w:p w14:paraId="674351E0">
      <w:pPr>
        <w:pStyle w:val="10"/>
        <w:pageBreakBefore w:val="0"/>
        <w:kinsoku/>
        <w:wordWrap/>
        <w:overflowPunct/>
        <w:topLinePunct w:val="0"/>
        <w:bidi w:val="0"/>
        <w:snapToGrid/>
        <w:spacing w:line="520" w:lineRule="exact"/>
        <w:ind w:left="0" w:leftChars="0" w:firstLine="0" w:firstLineChars="0"/>
        <w:textAlignment w:val="auto"/>
        <w:rPr>
          <w:rFonts w:hint="eastAsia"/>
          <w:lang w:eastAsia="zh-CN"/>
        </w:rPr>
      </w:pPr>
    </w:p>
    <w:p w14:paraId="31124F5B">
      <w:pPr>
        <w:pStyle w:val="2"/>
        <w:pageBreakBefore w:val="0"/>
        <w:kinsoku/>
        <w:wordWrap/>
        <w:overflowPunct/>
        <w:topLinePunct w:val="0"/>
        <w:autoSpaceDE/>
        <w:autoSpaceDN/>
        <w:bidi w:val="0"/>
        <w:adjustRightInd w:val="0"/>
        <w:snapToGrid/>
        <w:spacing w:before="0" w:beforeLines="0" w:after="0" w:afterLines="0" w:line="520" w:lineRule="exact"/>
        <w:jc w:val="center"/>
        <w:textAlignment w:val="auto"/>
        <w:rPr>
          <w:rFonts w:hint="eastAsia" w:ascii="黑体" w:hAnsi="黑体" w:eastAsia="黑体" w:cs="黑体"/>
          <w:b w:val="0"/>
          <w:bCs/>
          <w:lang w:eastAsia="zh-CN"/>
        </w:rPr>
      </w:pPr>
      <w:r>
        <w:rPr>
          <w:rFonts w:hint="eastAsia" w:ascii="黑体" w:hAnsi="黑体" w:eastAsia="黑体" w:cs="黑体"/>
          <w:b w:val="0"/>
          <w:bCs/>
          <w:lang w:val="en-US" w:eastAsia="zh-CN"/>
        </w:rPr>
        <w:t xml:space="preserve"> </w:t>
      </w:r>
      <w:r>
        <w:rPr>
          <w:rFonts w:hint="eastAsia" w:ascii="黑体" w:hAnsi="黑体" w:eastAsia="黑体" w:cs="黑体"/>
          <w:b w:val="0"/>
          <w:bCs/>
          <w:lang w:eastAsia="zh-CN"/>
        </w:rPr>
        <w:t>清流县</w:t>
      </w:r>
      <w:r>
        <w:rPr>
          <w:rFonts w:hint="eastAsia" w:ascii="黑体" w:hAnsi="黑体" w:eastAsia="黑体" w:cs="黑体"/>
          <w:b w:val="0"/>
          <w:bCs/>
        </w:rPr>
        <w:t>城市基础设施配套费征收管理规定</w:t>
      </w:r>
      <w:r>
        <w:rPr>
          <w:rFonts w:hint="eastAsia" w:ascii="黑体" w:hAnsi="黑体" w:eastAsia="黑体" w:cs="黑体"/>
          <w:b w:val="0"/>
          <w:bCs/>
          <w:lang w:eastAsia="zh-CN"/>
        </w:rPr>
        <w:t>（征求意见稿）</w:t>
      </w:r>
    </w:p>
    <w:p w14:paraId="141EB6FF">
      <w:pPr>
        <w:pageBreakBefore w:val="0"/>
        <w:kinsoku/>
        <w:wordWrap/>
        <w:overflowPunct/>
        <w:topLinePunct w:val="0"/>
        <w:autoSpaceDE/>
        <w:autoSpaceDN/>
        <w:bidi w:val="0"/>
        <w:adjustRightInd w:val="0"/>
        <w:snapToGrid/>
        <w:spacing w:line="520" w:lineRule="exact"/>
        <w:ind w:firstLine="629"/>
        <w:textAlignment w:val="auto"/>
        <w:rPr>
          <w:rFonts w:hint="eastAsia" w:ascii="仿宋_GB2312"/>
          <w:sz w:val="32"/>
          <w:szCs w:val="32"/>
        </w:rPr>
      </w:pPr>
    </w:p>
    <w:p w14:paraId="00DFFF0B">
      <w:pPr>
        <w:pageBreakBefore w:val="0"/>
        <w:kinsoku/>
        <w:wordWrap/>
        <w:overflowPunct/>
        <w:topLinePunct w:val="0"/>
        <w:autoSpaceDE/>
        <w:autoSpaceDN/>
        <w:bidi w:val="0"/>
        <w:adjustRightInd w:val="0"/>
        <w:snapToGrid/>
        <w:spacing w:line="520" w:lineRule="exact"/>
        <w:ind w:firstLine="629"/>
        <w:textAlignment w:val="auto"/>
        <w:rPr>
          <w:rFonts w:hint="eastAsia" w:ascii="仿宋_GB2312"/>
          <w:color w:val="auto"/>
          <w:sz w:val="32"/>
          <w:szCs w:val="32"/>
        </w:rPr>
      </w:pPr>
      <w:r>
        <w:rPr>
          <w:rFonts w:hint="eastAsia" w:ascii="仿宋_GB2312"/>
          <w:color w:val="auto"/>
          <w:sz w:val="32"/>
          <w:szCs w:val="32"/>
        </w:rPr>
        <w:t>根据《福建省人民政府关于印发福建省城市基础设施配套费征收管理规定的通知》（闽政</w:t>
      </w:r>
      <w:r>
        <w:rPr>
          <w:rFonts w:ascii="仿宋_GB2312" w:hAnsi="华文中宋"/>
          <w:color w:val="auto"/>
          <w:sz w:val="32"/>
          <w:szCs w:val="32"/>
        </w:rPr>
        <w:t>〔</w:t>
      </w:r>
      <w:r>
        <w:rPr>
          <w:rFonts w:hint="eastAsia" w:ascii="仿宋_GB2312" w:hAnsi="华文中宋"/>
          <w:color w:val="auto"/>
          <w:sz w:val="32"/>
          <w:szCs w:val="32"/>
        </w:rPr>
        <w:t>2002</w:t>
      </w:r>
      <w:r>
        <w:rPr>
          <w:rFonts w:ascii="仿宋_GB2312" w:hAnsi="华文中宋"/>
          <w:color w:val="auto"/>
          <w:sz w:val="32"/>
          <w:szCs w:val="32"/>
        </w:rPr>
        <w:t>〕</w:t>
      </w:r>
      <w:r>
        <w:rPr>
          <w:rFonts w:hint="eastAsia" w:ascii="仿宋_GB2312"/>
          <w:color w:val="auto"/>
          <w:sz w:val="32"/>
          <w:szCs w:val="32"/>
        </w:rPr>
        <w:t>53号），结合</w:t>
      </w:r>
      <w:r>
        <w:rPr>
          <w:rFonts w:hint="eastAsia" w:ascii="仿宋_GB2312"/>
          <w:color w:val="auto"/>
          <w:sz w:val="32"/>
          <w:szCs w:val="32"/>
          <w:lang w:eastAsia="zh-CN"/>
        </w:rPr>
        <w:t>清流</w:t>
      </w:r>
      <w:r>
        <w:rPr>
          <w:rFonts w:hint="eastAsia" w:ascii="仿宋_GB2312"/>
          <w:color w:val="auto"/>
          <w:sz w:val="32"/>
          <w:szCs w:val="32"/>
        </w:rPr>
        <w:t>县城市建设的实际情况，现对本县城市基础设施配套费征收管理</w:t>
      </w:r>
      <w:r>
        <w:rPr>
          <w:rFonts w:hint="eastAsia" w:ascii="仿宋_GB2312"/>
          <w:color w:val="auto"/>
          <w:sz w:val="32"/>
          <w:szCs w:val="32"/>
          <w:lang w:eastAsia="zh-CN"/>
        </w:rPr>
        <w:t>重新</w:t>
      </w:r>
      <w:r>
        <w:rPr>
          <w:rFonts w:hint="eastAsia" w:ascii="仿宋_GB2312"/>
          <w:color w:val="auto"/>
          <w:sz w:val="32"/>
          <w:szCs w:val="32"/>
        </w:rPr>
        <w:t>规定如下：</w:t>
      </w:r>
    </w:p>
    <w:p w14:paraId="5B399FB9">
      <w:pPr>
        <w:pageBreakBefore w:val="0"/>
        <w:kinsoku/>
        <w:wordWrap/>
        <w:overflowPunct/>
        <w:topLinePunct w:val="0"/>
        <w:autoSpaceDE/>
        <w:autoSpaceDN/>
        <w:bidi w:val="0"/>
        <w:adjustRightInd w:val="0"/>
        <w:snapToGrid/>
        <w:spacing w:line="520" w:lineRule="exact"/>
        <w:ind w:firstLine="629"/>
        <w:textAlignment w:val="auto"/>
        <w:rPr>
          <w:rFonts w:hint="eastAsia" w:ascii="仿宋_GB2312"/>
          <w:color w:val="auto"/>
          <w:sz w:val="32"/>
          <w:szCs w:val="32"/>
        </w:rPr>
      </w:pPr>
      <w:r>
        <w:rPr>
          <w:rFonts w:hint="eastAsia" w:ascii="仿宋_GB2312"/>
          <w:color w:val="auto"/>
          <w:sz w:val="32"/>
          <w:szCs w:val="32"/>
        </w:rPr>
        <w:t>凡在我县</w:t>
      </w:r>
      <w:r>
        <w:rPr>
          <w:rFonts w:hint="eastAsia" w:ascii="仿宋_GB2312"/>
          <w:color w:val="auto"/>
          <w:sz w:val="32"/>
          <w:szCs w:val="32"/>
          <w:lang w:eastAsia="zh-CN"/>
        </w:rPr>
        <w:t>城区、经济开发区各工业园区（包含城南工业园片区、大路口工业园片区、嵩溪工业园片区、温郊福宝园片区）、建制乡镇规划区等范围</w:t>
      </w:r>
      <w:r>
        <w:rPr>
          <w:rFonts w:hint="eastAsia" w:ascii="仿宋_GB2312"/>
          <w:color w:val="auto"/>
          <w:sz w:val="32"/>
          <w:szCs w:val="32"/>
        </w:rPr>
        <w:t>内进行各类工程建设（包括新建、扩建和改建）的单位和个人，均应按本规定缴交城市基础设施配套费（以下简称“配套费”）。</w:t>
      </w:r>
    </w:p>
    <w:p w14:paraId="22A1988D">
      <w:pPr>
        <w:pageBreakBefore w:val="0"/>
        <w:kinsoku/>
        <w:wordWrap/>
        <w:overflowPunct/>
        <w:topLinePunct w:val="0"/>
        <w:autoSpaceDE/>
        <w:autoSpaceDN/>
        <w:bidi w:val="0"/>
        <w:adjustRightInd w:val="0"/>
        <w:snapToGrid/>
        <w:spacing w:line="520" w:lineRule="exact"/>
        <w:ind w:firstLine="629"/>
        <w:textAlignment w:val="auto"/>
        <w:rPr>
          <w:rFonts w:hint="default" w:ascii="仿宋_GB2312"/>
          <w:color w:val="auto"/>
          <w:sz w:val="32"/>
          <w:szCs w:val="32"/>
          <w:lang w:val="en-US" w:eastAsia="zh-CN"/>
        </w:rPr>
      </w:pPr>
      <w:r>
        <w:rPr>
          <w:rFonts w:hint="eastAsia" w:ascii="仿宋_GB2312"/>
          <w:color w:val="auto"/>
          <w:sz w:val="32"/>
          <w:szCs w:val="32"/>
          <w:lang w:val="en-US" w:eastAsia="zh-CN"/>
        </w:rPr>
        <w:t>第二条 全县工业项目配套费收取按照城区工业园区（一类）、其他工业园区（二类）、城区非园区工业项目（二类）、乡镇非园区工业项目（三类）征收标准进行征收。</w:t>
      </w:r>
    </w:p>
    <w:p w14:paraId="528C72AC">
      <w:pPr>
        <w:pageBreakBefore w:val="0"/>
        <w:kinsoku/>
        <w:wordWrap/>
        <w:overflowPunct/>
        <w:topLinePunct w:val="0"/>
        <w:autoSpaceDE/>
        <w:autoSpaceDN/>
        <w:bidi w:val="0"/>
        <w:adjustRightInd w:val="0"/>
        <w:snapToGrid/>
        <w:spacing w:line="520" w:lineRule="exact"/>
        <w:ind w:firstLine="629"/>
        <w:textAlignment w:val="auto"/>
        <w:rPr>
          <w:rFonts w:hint="eastAsia" w:ascii="仿宋_GB2312" w:eastAsia="仿宋_GB2312"/>
          <w:color w:val="auto"/>
          <w:sz w:val="32"/>
          <w:szCs w:val="32"/>
          <w:highlight w:val="none"/>
          <w:u w:val="none"/>
          <w:lang w:eastAsia="zh-CN"/>
        </w:rPr>
      </w:pPr>
      <w:r>
        <w:rPr>
          <w:rFonts w:hint="eastAsia" w:ascii="仿宋_GB2312"/>
          <w:color w:val="auto"/>
          <w:sz w:val="32"/>
          <w:szCs w:val="32"/>
        </w:rPr>
        <w:t>第</w:t>
      </w:r>
      <w:r>
        <w:rPr>
          <w:rFonts w:hint="eastAsia" w:ascii="仿宋_GB2312"/>
          <w:color w:val="auto"/>
          <w:sz w:val="32"/>
          <w:szCs w:val="32"/>
          <w:lang w:eastAsia="zh-CN"/>
        </w:rPr>
        <w:t>三</w:t>
      </w:r>
      <w:r>
        <w:rPr>
          <w:rFonts w:hint="eastAsia" w:ascii="仿宋_GB2312"/>
          <w:color w:val="auto"/>
          <w:sz w:val="32"/>
          <w:szCs w:val="32"/>
        </w:rPr>
        <w:t>条 配套费主要用于</w:t>
      </w:r>
      <w:r>
        <w:rPr>
          <w:rFonts w:hint="eastAsia" w:ascii="仿宋_GB2312"/>
          <w:color w:val="auto"/>
          <w:sz w:val="32"/>
          <w:szCs w:val="32"/>
          <w:highlight w:val="none"/>
          <w:u w:val="none"/>
        </w:rPr>
        <w:t>建设项目以外的市政公用配套设施，</w:t>
      </w:r>
      <w:r>
        <w:rPr>
          <w:rFonts w:hint="eastAsia" w:ascii="仿宋_GB2312"/>
          <w:color w:val="auto"/>
          <w:sz w:val="32"/>
          <w:szCs w:val="32"/>
          <w:highlight w:val="none"/>
          <w:u w:val="none"/>
          <w:lang w:eastAsia="zh-CN"/>
        </w:rPr>
        <w:t>包括城市主次干道、给排水、供电、供气、路灯、公共交通、环境卫生和园林绿化等项目的建设和维护，</w:t>
      </w:r>
      <w:r>
        <w:rPr>
          <w:rFonts w:hint="eastAsia" w:ascii="仿宋_GB2312"/>
          <w:color w:val="auto"/>
          <w:sz w:val="32"/>
          <w:szCs w:val="32"/>
          <w:highlight w:val="none"/>
          <w:u w:val="none"/>
        </w:rPr>
        <w:t>是市政基础设施建设资金的补充，与</w:t>
      </w:r>
      <w:r>
        <w:rPr>
          <w:rFonts w:hint="eastAsia" w:ascii="仿宋_GB2312"/>
          <w:color w:val="auto"/>
          <w:sz w:val="32"/>
          <w:szCs w:val="32"/>
          <w:highlight w:val="none"/>
          <w:u w:val="none"/>
          <w:lang w:eastAsia="zh-CN"/>
        </w:rPr>
        <w:t>各项</w:t>
      </w:r>
      <w:r>
        <w:rPr>
          <w:rFonts w:hint="eastAsia" w:ascii="仿宋_GB2312"/>
          <w:color w:val="auto"/>
          <w:sz w:val="32"/>
          <w:szCs w:val="32"/>
          <w:highlight w:val="none"/>
          <w:u w:val="none"/>
        </w:rPr>
        <w:t>城建资金统筹安排使用。配套费</w:t>
      </w:r>
      <w:r>
        <w:rPr>
          <w:rFonts w:hint="eastAsia" w:ascii="仿宋_GB2312"/>
          <w:color w:val="auto"/>
          <w:sz w:val="32"/>
          <w:szCs w:val="32"/>
          <w:highlight w:val="none"/>
          <w:u w:val="none"/>
          <w:lang w:eastAsia="zh-CN"/>
        </w:rPr>
        <w:t>纳入部门预算编制范围，待预算批复后，资金使用按有关规定执行</w:t>
      </w:r>
      <w:r>
        <w:rPr>
          <w:rFonts w:hint="eastAsia" w:ascii="仿宋_GB2312"/>
          <w:color w:val="auto"/>
          <w:sz w:val="32"/>
          <w:szCs w:val="32"/>
          <w:highlight w:val="none"/>
          <w:u w:val="none"/>
        </w:rPr>
        <w:t>。</w:t>
      </w:r>
      <w:r>
        <w:rPr>
          <w:rFonts w:hint="eastAsia" w:ascii="仿宋_GB2312"/>
          <w:color w:val="auto"/>
          <w:sz w:val="32"/>
          <w:szCs w:val="32"/>
          <w:highlight w:val="none"/>
          <w:u w:val="none"/>
          <w:lang w:eastAsia="zh-CN"/>
        </w:rPr>
        <w:t>其余各建制镇的配套费纳入镇人民政府预算编制范围，待预算批复后，资金使用按有关规定执行。</w:t>
      </w:r>
    </w:p>
    <w:p w14:paraId="2E9BDC18">
      <w:pPr>
        <w:pageBreakBefore w:val="0"/>
        <w:kinsoku/>
        <w:wordWrap/>
        <w:overflowPunct/>
        <w:topLinePunct w:val="0"/>
        <w:autoSpaceDE/>
        <w:autoSpaceDN/>
        <w:bidi w:val="0"/>
        <w:adjustRightInd w:val="0"/>
        <w:snapToGrid/>
        <w:spacing w:line="520" w:lineRule="exact"/>
        <w:ind w:firstLine="629"/>
        <w:textAlignment w:val="auto"/>
        <w:rPr>
          <w:rFonts w:hint="eastAsia" w:ascii="仿宋_GB2312"/>
          <w:color w:val="auto"/>
          <w:sz w:val="32"/>
          <w:szCs w:val="32"/>
        </w:rPr>
      </w:pPr>
      <w:r>
        <w:rPr>
          <w:rFonts w:hint="eastAsia" w:ascii="仿宋_GB2312"/>
          <w:color w:val="auto"/>
          <w:sz w:val="32"/>
          <w:szCs w:val="32"/>
        </w:rPr>
        <w:t>第</w:t>
      </w:r>
      <w:r>
        <w:rPr>
          <w:rFonts w:hint="eastAsia" w:ascii="仿宋_GB2312"/>
          <w:color w:val="auto"/>
          <w:sz w:val="32"/>
          <w:szCs w:val="32"/>
          <w:lang w:eastAsia="zh-CN"/>
        </w:rPr>
        <w:t>四</w:t>
      </w:r>
      <w:r>
        <w:rPr>
          <w:rFonts w:hint="eastAsia" w:ascii="仿宋_GB2312"/>
          <w:color w:val="auto"/>
          <w:sz w:val="32"/>
          <w:szCs w:val="32"/>
        </w:rPr>
        <w:t>条 新建项目的配套费按建设工程规划许可证核准的总建筑面积征收;扩建、改建项目的配套费按新增总建筑面积征收。对容积率小于1的建设项目，配套费按容积率为1的建筑面积征收；容积率大于4的建设项目，配套费按容积率为4的建筑面积征收。</w:t>
      </w:r>
    </w:p>
    <w:p w14:paraId="14B90EF1">
      <w:pPr>
        <w:pageBreakBefore w:val="0"/>
        <w:kinsoku/>
        <w:wordWrap/>
        <w:overflowPunct/>
        <w:topLinePunct w:val="0"/>
        <w:autoSpaceDE/>
        <w:autoSpaceDN/>
        <w:bidi w:val="0"/>
        <w:adjustRightInd w:val="0"/>
        <w:snapToGrid/>
        <w:spacing w:line="520" w:lineRule="exact"/>
        <w:ind w:firstLine="629"/>
        <w:textAlignment w:val="auto"/>
        <w:rPr>
          <w:rFonts w:hint="eastAsia" w:ascii="仿宋_GB2312"/>
          <w:strike w:val="0"/>
          <w:color w:val="auto"/>
          <w:sz w:val="32"/>
          <w:szCs w:val="32"/>
          <w:lang w:eastAsia="zh-CN"/>
        </w:rPr>
      </w:pPr>
      <w:r>
        <w:rPr>
          <w:rFonts w:hint="eastAsia" w:ascii="仿宋_GB2312"/>
          <w:color w:val="auto"/>
          <w:sz w:val="32"/>
          <w:szCs w:val="32"/>
          <w:lang w:eastAsia="zh-CN"/>
        </w:rPr>
        <w:t>第五条</w:t>
      </w:r>
      <w:r>
        <w:rPr>
          <w:rFonts w:hint="eastAsia" w:ascii="仿宋_GB2312"/>
          <w:color w:val="auto"/>
          <w:sz w:val="32"/>
          <w:szCs w:val="32"/>
          <w:lang w:val="en-US" w:eastAsia="zh-CN"/>
        </w:rPr>
        <w:t xml:space="preserve"> </w:t>
      </w:r>
      <w:r>
        <w:rPr>
          <w:rFonts w:hint="eastAsia" w:ascii="仿宋_GB2312"/>
          <w:strike w:val="0"/>
          <w:dstrike w:val="0"/>
          <w:color w:val="auto"/>
          <w:sz w:val="32"/>
          <w:szCs w:val="32"/>
        </w:rPr>
        <w:t>配套费实行一次性缴纳，</w:t>
      </w:r>
      <w:r>
        <w:rPr>
          <w:rFonts w:hint="eastAsia" w:ascii="仿宋_GB2312"/>
          <w:strike w:val="0"/>
          <w:dstrike w:val="0"/>
          <w:color w:val="auto"/>
          <w:sz w:val="32"/>
          <w:szCs w:val="32"/>
          <w:lang w:eastAsia="zh-CN"/>
        </w:rPr>
        <w:t>我县城区及各工业园区配套费</w:t>
      </w:r>
      <w:r>
        <w:rPr>
          <w:rFonts w:hint="eastAsia" w:ascii="仿宋_GB2312"/>
          <w:strike w:val="0"/>
          <w:dstrike w:val="0"/>
          <w:color w:val="auto"/>
          <w:sz w:val="32"/>
          <w:szCs w:val="32"/>
        </w:rPr>
        <w:t>由县</w:t>
      </w:r>
      <w:r>
        <w:rPr>
          <w:rFonts w:hint="eastAsia" w:ascii="仿宋_GB2312"/>
          <w:strike w:val="0"/>
          <w:dstrike w:val="0"/>
          <w:color w:val="auto"/>
          <w:sz w:val="32"/>
          <w:szCs w:val="32"/>
          <w:lang w:eastAsia="zh-CN"/>
        </w:rPr>
        <w:t>住建部门负责收取，各乡镇配套费由属地进行收取。</w:t>
      </w:r>
    </w:p>
    <w:p w14:paraId="3EBC9653">
      <w:pPr>
        <w:pageBreakBefore w:val="0"/>
        <w:numPr>
          <w:ilvl w:val="0"/>
          <w:numId w:val="0"/>
        </w:numPr>
        <w:kinsoku/>
        <w:wordWrap/>
        <w:overflowPunct/>
        <w:topLinePunct w:val="0"/>
        <w:autoSpaceDE/>
        <w:autoSpaceDN/>
        <w:bidi w:val="0"/>
        <w:adjustRightInd w:val="0"/>
        <w:snapToGrid/>
        <w:spacing w:line="520" w:lineRule="exact"/>
        <w:ind w:firstLine="640" w:firstLineChars="200"/>
        <w:textAlignment w:val="auto"/>
        <w:rPr>
          <w:rFonts w:hint="eastAsia" w:ascii="仿宋_GB2312"/>
          <w:color w:val="auto"/>
          <w:sz w:val="32"/>
          <w:szCs w:val="32"/>
          <w:lang w:eastAsia="zh-CN"/>
        </w:rPr>
      </w:pPr>
      <w:r>
        <w:rPr>
          <w:rFonts w:hint="eastAsia" w:ascii="仿宋_GB2312"/>
          <w:color w:val="auto"/>
          <w:sz w:val="32"/>
          <w:szCs w:val="32"/>
          <w:lang w:eastAsia="zh-CN"/>
        </w:rPr>
        <w:t>第六条</w:t>
      </w:r>
      <w:r>
        <w:rPr>
          <w:rFonts w:hint="eastAsia" w:ascii="仿宋_GB2312"/>
          <w:color w:val="auto"/>
          <w:sz w:val="32"/>
          <w:szCs w:val="32"/>
          <w:lang w:val="en-US" w:eastAsia="zh-CN"/>
        </w:rPr>
        <w:t xml:space="preserve"> </w:t>
      </w:r>
      <w:r>
        <w:rPr>
          <w:rFonts w:hint="eastAsia" w:ascii="仿宋_GB2312"/>
          <w:color w:val="auto"/>
          <w:sz w:val="32"/>
          <w:szCs w:val="32"/>
        </w:rPr>
        <w:t>配套费免征、减征范围</w:t>
      </w:r>
      <w:r>
        <w:rPr>
          <w:rFonts w:hint="eastAsia" w:ascii="仿宋_GB2312"/>
          <w:color w:val="auto"/>
          <w:sz w:val="32"/>
          <w:szCs w:val="32"/>
          <w:lang w:eastAsia="zh-CN"/>
        </w:rPr>
        <w:t>：</w:t>
      </w:r>
    </w:p>
    <w:p w14:paraId="7825F45C">
      <w:pPr>
        <w:pageBreakBefore w:val="0"/>
        <w:numPr>
          <w:ilvl w:val="0"/>
          <w:numId w:val="0"/>
        </w:numPr>
        <w:kinsoku/>
        <w:wordWrap/>
        <w:overflowPunct/>
        <w:topLinePunct w:val="0"/>
        <w:autoSpaceDE/>
        <w:autoSpaceDN/>
        <w:bidi w:val="0"/>
        <w:adjustRightInd w:val="0"/>
        <w:snapToGrid/>
        <w:spacing w:line="520" w:lineRule="exact"/>
        <w:ind w:firstLine="640" w:firstLineChars="200"/>
        <w:textAlignment w:val="auto"/>
        <w:rPr>
          <w:rFonts w:hint="eastAsia" w:ascii="仿宋_GB2312" w:hAnsi="Times New Roman" w:eastAsia="仿宋_GB2312" w:cs="Times New Roman"/>
          <w:color w:val="auto"/>
          <w:kern w:val="2"/>
          <w:sz w:val="32"/>
          <w:szCs w:val="32"/>
          <w:lang w:val="en-US" w:eastAsia="zh-CN" w:bidi="ar-SA"/>
        </w:rPr>
      </w:pPr>
      <w:r>
        <w:rPr>
          <w:rFonts w:hint="eastAsia" w:ascii="仿宋_GB2312" w:cs="Times New Roman"/>
          <w:color w:val="auto"/>
          <w:kern w:val="2"/>
          <w:sz w:val="32"/>
          <w:szCs w:val="32"/>
          <w:lang w:val="en-US" w:eastAsia="zh-CN" w:bidi="ar-SA"/>
        </w:rPr>
        <w:t>（一）</w:t>
      </w:r>
      <w:r>
        <w:rPr>
          <w:rFonts w:hint="eastAsia" w:ascii="仿宋_GB2312" w:hAnsi="Times New Roman" w:eastAsia="仿宋_GB2312" w:cs="Times New Roman"/>
          <w:color w:val="auto"/>
          <w:kern w:val="2"/>
          <w:sz w:val="32"/>
          <w:szCs w:val="32"/>
          <w:lang w:val="en-US" w:eastAsia="zh-CN" w:bidi="ar-SA"/>
        </w:rPr>
        <w:t>军事设施（含武警部队设施）、市政公用设施（含城市停车场建设项目）、单建式人防工程、经济适用住房、廉租住户建设项目以及经县人民政府确认或批准的由社会各界捐建的学校、图书馆、孤儿院、养老院等社会公益事业建设项目免征。</w:t>
      </w:r>
    </w:p>
    <w:p w14:paraId="61198487">
      <w:pPr>
        <w:pageBreakBefore w:val="0"/>
        <w:numPr>
          <w:ilvl w:val="0"/>
          <w:numId w:val="0"/>
        </w:numPr>
        <w:kinsoku/>
        <w:wordWrap/>
        <w:overflowPunct/>
        <w:topLinePunct w:val="0"/>
        <w:autoSpaceDE/>
        <w:autoSpaceDN/>
        <w:bidi w:val="0"/>
        <w:adjustRightInd w:val="0"/>
        <w:snapToGrid/>
        <w:spacing w:line="520" w:lineRule="exact"/>
        <w:ind w:firstLine="640" w:firstLineChars="200"/>
        <w:textAlignment w:val="auto"/>
        <w:rPr>
          <w:rFonts w:hint="eastAsia" w:ascii="仿宋_GB2312" w:hAnsi="Times New Roman" w:eastAsia="仿宋_GB2312" w:cs="Times New Roman"/>
          <w:color w:val="auto"/>
          <w:kern w:val="2"/>
          <w:sz w:val="32"/>
          <w:szCs w:val="32"/>
          <w:lang w:val="en-US" w:eastAsia="zh-CN" w:bidi="ar-SA"/>
        </w:rPr>
      </w:pPr>
      <w:r>
        <w:rPr>
          <w:rFonts w:hint="eastAsia" w:ascii="仿宋_GB2312" w:hAnsi="Times New Roman" w:eastAsia="仿宋_GB2312" w:cs="Times New Roman"/>
          <w:color w:val="auto"/>
          <w:kern w:val="2"/>
          <w:sz w:val="32"/>
          <w:szCs w:val="32"/>
          <w:lang w:val="en-US" w:eastAsia="zh-CN" w:bidi="ar-SA"/>
        </w:rPr>
        <w:t>（二</w:t>
      </w:r>
      <w:r>
        <w:rPr>
          <w:rFonts w:hint="eastAsia" w:ascii="仿宋_GB2312" w:cs="Times New Roman"/>
          <w:color w:val="auto"/>
          <w:kern w:val="2"/>
          <w:sz w:val="32"/>
          <w:szCs w:val="32"/>
          <w:lang w:val="en-US" w:eastAsia="zh-CN" w:bidi="ar-SA"/>
        </w:rPr>
        <w:t>）</w:t>
      </w:r>
      <w:r>
        <w:rPr>
          <w:rFonts w:hint="eastAsia" w:ascii="仿宋_GB2312" w:hAnsi="Times New Roman" w:eastAsia="仿宋_GB2312" w:cs="Times New Roman"/>
          <w:color w:val="auto"/>
          <w:kern w:val="2"/>
          <w:sz w:val="32"/>
          <w:szCs w:val="32"/>
          <w:lang w:val="en-US" w:eastAsia="zh-CN" w:bidi="ar-SA"/>
        </w:rPr>
        <w:t>学校、医疗机构、科研等单位以及</w:t>
      </w:r>
      <w:r>
        <w:rPr>
          <w:rFonts w:hint="eastAsia" w:ascii="仿宋_GB2312" w:cs="Times New Roman"/>
          <w:color w:val="auto"/>
          <w:kern w:val="2"/>
          <w:sz w:val="32"/>
          <w:szCs w:val="32"/>
          <w:lang w:val="en-US" w:eastAsia="zh-CN" w:bidi="ar-SA"/>
        </w:rPr>
        <w:t>举</w:t>
      </w:r>
      <w:r>
        <w:rPr>
          <w:rFonts w:hint="eastAsia" w:ascii="仿宋_GB2312" w:hAnsi="Times New Roman" w:eastAsia="仿宋_GB2312" w:cs="Times New Roman"/>
          <w:color w:val="auto"/>
          <w:kern w:val="2"/>
          <w:sz w:val="32"/>
          <w:szCs w:val="32"/>
          <w:lang w:val="en-US" w:eastAsia="zh-CN" w:bidi="ar-SA"/>
        </w:rPr>
        <w:t>办的非经营性建设项目（不含住宅）、残疾人非经营性福利事业建设项目、经省科技行政主管部门认定的国家和省确定扶持的高新技术建设项目以及行政机关办公楼建设项目减半征收。</w:t>
      </w:r>
    </w:p>
    <w:p w14:paraId="48C78268">
      <w:pPr>
        <w:pageBreakBefore w:val="0"/>
        <w:numPr>
          <w:ilvl w:val="0"/>
          <w:numId w:val="0"/>
        </w:numPr>
        <w:kinsoku/>
        <w:wordWrap/>
        <w:overflowPunct/>
        <w:topLinePunct w:val="0"/>
        <w:autoSpaceDE/>
        <w:autoSpaceDN/>
        <w:bidi w:val="0"/>
        <w:adjustRightInd w:val="0"/>
        <w:snapToGrid/>
        <w:spacing w:line="520" w:lineRule="exact"/>
        <w:ind w:firstLine="640" w:firstLineChars="200"/>
        <w:textAlignment w:val="auto"/>
        <w:rPr>
          <w:rFonts w:hint="eastAsia" w:ascii="仿宋_GB2312" w:hAnsi="Times New Roman" w:eastAsia="仿宋_GB2312" w:cs="Times New Roman"/>
          <w:color w:val="auto"/>
          <w:kern w:val="2"/>
          <w:sz w:val="32"/>
          <w:szCs w:val="32"/>
          <w:lang w:val="en-US" w:eastAsia="zh-CN" w:bidi="ar-SA"/>
        </w:rPr>
      </w:pPr>
      <w:r>
        <w:rPr>
          <w:rFonts w:hint="eastAsia" w:ascii="仿宋_GB2312" w:cs="Times New Roman"/>
          <w:color w:val="auto"/>
          <w:kern w:val="2"/>
          <w:sz w:val="32"/>
          <w:szCs w:val="32"/>
          <w:lang w:val="en-US" w:eastAsia="zh-CN" w:bidi="ar-SA"/>
        </w:rPr>
        <w:t xml:space="preserve">第七条 </w:t>
      </w:r>
      <w:r>
        <w:rPr>
          <w:rFonts w:hint="eastAsia" w:ascii="仿宋_GB2312" w:hAnsi="Times New Roman" w:eastAsia="仿宋_GB2312" w:cs="Times New Roman"/>
          <w:color w:val="auto"/>
          <w:kern w:val="2"/>
          <w:sz w:val="32"/>
          <w:szCs w:val="32"/>
          <w:lang w:val="en-US" w:eastAsia="zh-CN" w:bidi="ar-SA"/>
        </w:rPr>
        <w:t>配套费免征、减征由县住建局进行审核后报县人民政府审批收取。</w:t>
      </w:r>
    </w:p>
    <w:p w14:paraId="598A8252">
      <w:pPr>
        <w:pageBreakBefore w:val="0"/>
        <w:numPr>
          <w:ilvl w:val="0"/>
          <w:numId w:val="0"/>
        </w:numPr>
        <w:kinsoku/>
        <w:wordWrap/>
        <w:overflowPunct/>
        <w:topLinePunct w:val="0"/>
        <w:autoSpaceDE/>
        <w:autoSpaceDN/>
        <w:bidi w:val="0"/>
        <w:adjustRightInd w:val="0"/>
        <w:snapToGrid/>
        <w:spacing w:line="520" w:lineRule="exact"/>
        <w:ind w:firstLine="640" w:firstLineChars="200"/>
        <w:textAlignment w:val="auto"/>
        <w:rPr>
          <w:rFonts w:hint="eastAsia" w:ascii="仿宋_GB2312" w:hAnsi="Times New Roman" w:eastAsia="仿宋_GB2312" w:cs="Times New Roman"/>
          <w:color w:val="auto"/>
          <w:kern w:val="2"/>
          <w:sz w:val="32"/>
          <w:szCs w:val="32"/>
          <w:lang w:val="en-US" w:eastAsia="zh-CN" w:bidi="ar-SA"/>
        </w:rPr>
      </w:pPr>
      <w:r>
        <w:rPr>
          <w:rFonts w:hint="eastAsia" w:ascii="仿宋_GB2312" w:hAnsi="Times New Roman" w:eastAsia="仿宋_GB2312" w:cs="Times New Roman"/>
          <w:color w:val="auto"/>
          <w:kern w:val="2"/>
          <w:sz w:val="32"/>
          <w:szCs w:val="32"/>
          <w:lang w:val="en-US" w:eastAsia="zh-CN" w:bidi="ar-SA"/>
        </w:rPr>
        <w:t>除上述减免范围外，任何单位和个人均不得随意减免配套费。免征、减征配套费的建设工程需要改变使用性质的，应办理报批手续，并按规定补交配套费。</w:t>
      </w:r>
    </w:p>
    <w:p w14:paraId="4B44A6B0">
      <w:pPr>
        <w:pageBreakBefore w:val="0"/>
        <w:numPr>
          <w:ilvl w:val="0"/>
          <w:numId w:val="0"/>
        </w:numPr>
        <w:kinsoku/>
        <w:wordWrap/>
        <w:overflowPunct/>
        <w:topLinePunct w:val="0"/>
        <w:autoSpaceDE/>
        <w:autoSpaceDN/>
        <w:bidi w:val="0"/>
        <w:adjustRightInd w:val="0"/>
        <w:snapToGrid/>
        <w:spacing w:line="520" w:lineRule="exact"/>
        <w:ind w:left="629" w:leftChars="0"/>
        <w:textAlignment w:val="auto"/>
        <w:rPr>
          <w:rFonts w:hint="eastAsia" w:ascii="仿宋_GB2312" w:hAnsi="Times New Roman" w:eastAsia="仿宋_GB2312" w:cs="Times New Roman"/>
          <w:color w:val="auto"/>
          <w:kern w:val="2"/>
          <w:sz w:val="32"/>
          <w:szCs w:val="32"/>
          <w:lang w:val="en-US" w:eastAsia="zh-CN" w:bidi="ar-SA"/>
        </w:rPr>
      </w:pPr>
      <w:r>
        <w:rPr>
          <w:rFonts w:hint="eastAsia" w:ascii="仿宋_GB2312" w:cs="Times New Roman"/>
          <w:color w:val="auto"/>
          <w:kern w:val="2"/>
          <w:sz w:val="32"/>
          <w:szCs w:val="32"/>
          <w:lang w:val="en-US" w:eastAsia="zh-CN" w:bidi="ar-SA"/>
        </w:rPr>
        <w:t xml:space="preserve">第八条 </w:t>
      </w:r>
      <w:r>
        <w:rPr>
          <w:rFonts w:hint="eastAsia" w:ascii="仿宋_GB2312" w:hAnsi="Times New Roman" w:eastAsia="仿宋_GB2312" w:cs="Times New Roman"/>
          <w:color w:val="auto"/>
          <w:kern w:val="2"/>
          <w:sz w:val="32"/>
          <w:szCs w:val="32"/>
          <w:lang w:val="en-US" w:eastAsia="zh-CN" w:bidi="ar-SA"/>
        </w:rPr>
        <w:t>配套费的征收标准详见附表</w:t>
      </w:r>
      <w:r>
        <w:rPr>
          <w:rFonts w:hint="eastAsia" w:ascii="仿宋_GB2312" w:cs="Times New Roman"/>
          <w:color w:val="auto"/>
          <w:kern w:val="2"/>
          <w:sz w:val="32"/>
          <w:szCs w:val="32"/>
          <w:lang w:val="en-US" w:eastAsia="zh-CN" w:bidi="ar-SA"/>
        </w:rPr>
        <w:t>一</w:t>
      </w:r>
      <w:r>
        <w:rPr>
          <w:rFonts w:hint="eastAsia" w:ascii="仿宋_GB2312" w:hAnsi="Times New Roman" w:eastAsia="仿宋_GB2312" w:cs="Times New Roman"/>
          <w:color w:val="auto"/>
          <w:kern w:val="2"/>
          <w:sz w:val="32"/>
          <w:szCs w:val="32"/>
          <w:lang w:val="en-US" w:eastAsia="zh-CN" w:bidi="ar-SA"/>
        </w:rPr>
        <w:t>。</w:t>
      </w:r>
    </w:p>
    <w:p w14:paraId="765C5E75">
      <w:pPr>
        <w:pageBreakBefore w:val="0"/>
        <w:numPr>
          <w:ilvl w:val="0"/>
          <w:numId w:val="0"/>
        </w:numPr>
        <w:kinsoku/>
        <w:wordWrap/>
        <w:overflowPunct/>
        <w:topLinePunct w:val="0"/>
        <w:autoSpaceDE/>
        <w:autoSpaceDN/>
        <w:bidi w:val="0"/>
        <w:adjustRightInd w:val="0"/>
        <w:snapToGrid/>
        <w:spacing w:line="520" w:lineRule="exact"/>
        <w:ind w:firstLine="640" w:firstLineChars="200"/>
        <w:textAlignment w:val="auto"/>
        <w:rPr>
          <w:rFonts w:hint="eastAsia" w:ascii="仿宋_GB2312" w:hAnsi="Times New Roman" w:eastAsia="仿宋_GB2312" w:cs="Times New Roman"/>
          <w:color w:val="auto"/>
          <w:kern w:val="2"/>
          <w:sz w:val="32"/>
          <w:szCs w:val="32"/>
          <w:lang w:val="en-US" w:eastAsia="zh-CN" w:bidi="ar-SA"/>
        </w:rPr>
      </w:pPr>
      <w:r>
        <w:rPr>
          <w:rFonts w:hint="eastAsia" w:ascii="仿宋_GB2312" w:cs="Times New Roman"/>
          <w:color w:val="auto"/>
          <w:kern w:val="2"/>
          <w:sz w:val="32"/>
          <w:szCs w:val="32"/>
          <w:lang w:val="en-US" w:eastAsia="zh-CN" w:bidi="ar-SA"/>
        </w:rPr>
        <w:t xml:space="preserve">第九条 </w:t>
      </w:r>
      <w:r>
        <w:rPr>
          <w:rFonts w:hint="eastAsia" w:ascii="仿宋_GB2312" w:hAnsi="Times New Roman" w:eastAsia="仿宋_GB2312" w:cs="Times New Roman"/>
          <w:color w:val="auto"/>
          <w:kern w:val="2"/>
          <w:sz w:val="32"/>
          <w:szCs w:val="32"/>
          <w:lang w:val="en-US" w:eastAsia="zh-CN" w:bidi="ar-SA"/>
        </w:rPr>
        <w:t>城市土地类别划分：一类区为城市建成区比较繁华的地段；二类区为城市建成区的一般地段；三类区为城市建成区的外缘地区或城市规划区范围内的近郊地区。各</w:t>
      </w:r>
      <w:r>
        <w:rPr>
          <w:rFonts w:hint="eastAsia" w:ascii="仿宋_GB2312" w:cs="Times New Roman"/>
          <w:color w:val="auto"/>
          <w:kern w:val="2"/>
          <w:sz w:val="32"/>
          <w:szCs w:val="32"/>
          <w:lang w:val="en-US" w:eastAsia="zh-CN" w:bidi="ar-SA"/>
        </w:rPr>
        <w:t>建制镇</w:t>
      </w:r>
      <w:r>
        <w:rPr>
          <w:rFonts w:hint="eastAsia" w:ascii="仿宋_GB2312" w:hAnsi="Times New Roman" w:eastAsia="仿宋_GB2312" w:cs="Times New Roman"/>
          <w:color w:val="auto"/>
          <w:kern w:val="2"/>
          <w:sz w:val="32"/>
          <w:szCs w:val="32"/>
          <w:lang w:val="en-US" w:eastAsia="zh-CN" w:bidi="ar-SA"/>
        </w:rPr>
        <w:t>人民政府可根据上述土地类别的划分原则，结合本镇的实际情况，进一步明确划分土地类别界限范围，</w:t>
      </w:r>
      <w:r>
        <w:rPr>
          <w:rFonts w:hint="eastAsia" w:ascii="仿宋_GB2312" w:cs="Times New Roman"/>
          <w:color w:val="auto"/>
          <w:kern w:val="2"/>
          <w:sz w:val="32"/>
          <w:szCs w:val="32"/>
          <w:lang w:val="en-US" w:eastAsia="zh-CN" w:bidi="ar-SA"/>
        </w:rPr>
        <w:t>上报县人民政府审批。县土地类别划分详见附表二</w:t>
      </w:r>
      <w:r>
        <w:rPr>
          <w:rFonts w:hint="eastAsia" w:ascii="仿宋_GB2312" w:hAnsi="Times New Roman" w:eastAsia="仿宋_GB2312" w:cs="Times New Roman"/>
          <w:color w:val="auto"/>
          <w:kern w:val="2"/>
          <w:sz w:val="32"/>
          <w:szCs w:val="32"/>
          <w:lang w:val="en-US" w:eastAsia="zh-CN" w:bidi="ar-SA"/>
        </w:rPr>
        <w:t>。</w:t>
      </w:r>
    </w:p>
    <w:p w14:paraId="3FC62D69">
      <w:pPr>
        <w:pageBreakBefore w:val="0"/>
        <w:numPr>
          <w:ilvl w:val="0"/>
          <w:numId w:val="0"/>
        </w:numPr>
        <w:kinsoku/>
        <w:wordWrap/>
        <w:overflowPunct/>
        <w:topLinePunct w:val="0"/>
        <w:autoSpaceDE/>
        <w:autoSpaceDN/>
        <w:bidi w:val="0"/>
        <w:adjustRightInd w:val="0"/>
        <w:snapToGrid/>
        <w:spacing w:line="520" w:lineRule="exact"/>
        <w:ind w:firstLine="640" w:firstLineChars="200"/>
        <w:textAlignment w:val="auto"/>
        <w:rPr>
          <w:rFonts w:hint="eastAsia" w:ascii="仿宋_GB2312" w:hAnsi="Times New Roman" w:eastAsia="仿宋_GB2312" w:cs="Times New Roman"/>
          <w:strike w:val="0"/>
          <w:dstrike w:val="0"/>
          <w:color w:val="auto"/>
          <w:kern w:val="2"/>
          <w:sz w:val="32"/>
          <w:szCs w:val="32"/>
          <w:lang w:val="en-US" w:eastAsia="zh-CN" w:bidi="ar-SA"/>
        </w:rPr>
      </w:pPr>
      <w:r>
        <w:rPr>
          <w:rFonts w:hint="eastAsia" w:ascii="仿宋_GB2312" w:cs="Times New Roman"/>
          <w:color w:val="auto"/>
          <w:kern w:val="2"/>
          <w:sz w:val="32"/>
          <w:szCs w:val="32"/>
          <w:lang w:val="en-US" w:eastAsia="zh-CN" w:bidi="ar-SA"/>
        </w:rPr>
        <w:t xml:space="preserve">第十条 </w:t>
      </w:r>
      <w:r>
        <w:rPr>
          <w:rFonts w:hint="eastAsia" w:ascii="仿宋_GB2312" w:hAnsi="Times New Roman" w:cs="Times New Roman"/>
          <w:strike w:val="0"/>
          <w:dstrike w:val="0"/>
          <w:color w:val="auto"/>
          <w:kern w:val="2"/>
          <w:sz w:val="32"/>
          <w:szCs w:val="32"/>
          <w:lang w:val="en-US" w:eastAsia="zh-CN" w:bidi="ar-SA"/>
        </w:rPr>
        <w:t>土地类别</w:t>
      </w:r>
      <w:r>
        <w:rPr>
          <w:rFonts w:hint="eastAsia" w:ascii="仿宋_GB2312" w:hAnsi="Times New Roman" w:eastAsia="仿宋_GB2312" w:cs="Times New Roman"/>
          <w:color w:val="auto"/>
          <w:kern w:val="2"/>
          <w:sz w:val="32"/>
          <w:szCs w:val="32"/>
          <w:lang w:val="en-US" w:eastAsia="zh-CN" w:bidi="ar-SA"/>
        </w:rPr>
        <w:t>界限范围</w:t>
      </w:r>
      <w:r>
        <w:rPr>
          <w:rFonts w:hint="eastAsia" w:ascii="仿宋_GB2312" w:hAnsi="Times New Roman" w:cs="Times New Roman"/>
          <w:color w:val="auto"/>
          <w:kern w:val="2"/>
          <w:sz w:val="32"/>
          <w:szCs w:val="32"/>
          <w:lang w:val="en-US" w:eastAsia="zh-CN" w:bidi="ar-SA"/>
        </w:rPr>
        <w:t>每两年更新一次，</w:t>
      </w:r>
      <w:r>
        <w:rPr>
          <w:rFonts w:hint="eastAsia" w:ascii="仿宋_GB2312" w:hAnsi="Times New Roman" w:eastAsia="仿宋_GB2312" w:cs="Times New Roman"/>
          <w:strike w:val="0"/>
          <w:dstrike w:val="0"/>
          <w:color w:val="auto"/>
          <w:kern w:val="2"/>
          <w:sz w:val="32"/>
          <w:szCs w:val="32"/>
          <w:lang w:val="en-US" w:eastAsia="zh-CN" w:bidi="ar-SA"/>
        </w:rPr>
        <w:t>随附图</w:t>
      </w:r>
      <w:r>
        <w:rPr>
          <w:rFonts w:hint="eastAsia" w:ascii="仿宋_GB2312" w:hAnsi="Times New Roman" w:cs="Times New Roman"/>
          <w:strike w:val="0"/>
          <w:dstrike w:val="0"/>
          <w:color w:val="auto"/>
          <w:kern w:val="2"/>
          <w:sz w:val="32"/>
          <w:szCs w:val="32"/>
          <w:lang w:val="en-US" w:eastAsia="zh-CN" w:bidi="ar-SA"/>
        </w:rPr>
        <w:t>、</w:t>
      </w:r>
      <w:r>
        <w:rPr>
          <w:rFonts w:hint="eastAsia" w:ascii="仿宋_GB2312" w:hAnsi="Times New Roman" w:eastAsia="仿宋_GB2312" w:cs="Times New Roman"/>
          <w:strike w:val="0"/>
          <w:dstrike w:val="0"/>
          <w:color w:val="auto"/>
          <w:kern w:val="2"/>
          <w:sz w:val="32"/>
          <w:szCs w:val="32"/>
          <w:lang w:val="en-US" w:eastAsia="zh-CN" w:bidi="ar-SA"/>
        </w:rPr>
        <w:t>收费范围的更新同步更新，</w:t>
      </w:r>
      <w:r>
        <w:rPr>
          <w:rFonts w:hint="eastAsia" w:ascii="仿宋_GB2312" w:hAnsi="Times New Roman" w:cs="Times New Roman"/>
          <w:strike w:val="0"/>
          <w:dstrike w:val="0"/>
          <w:color w:val="auto"/>
          <w:kern w:val="2"/>
          <w:sz w:val="32"/>
          <w:szCs w:val="32"/>
          <w:lang w:val="en-US" w:eastAsia="zh-CN" w:bidi="ar-SA"/>
        </w:rPr>
        <w:t>本</w:t>
      </w:r>
      <w:r>
        <w:rPr>
          <w:rFonts w:hint="eastAsia" w:ascii="仿宋_GB2312" w:hAnsi="Times New Roman" w:eastAsia="仿宋_GB2312" w:cs="Times New Roman"/>
          <w:strike w:val="0"/>
          <w:dstrike w:val="0"/>
          <w:color w:val="auto"/>
          <w:kern w:val="2"/>
          <w:sz w:val="32"/>
          <w:szCs w:val="32"/>
          <w:lang w:val="en-US" w:eastAsia="zh-CN" w:bidi="ar-SA"/>
        </w:rPr>
        <w:t>文件不更新</w:t>
      </w:r>
      <w:r>
        <w:rPr>
          <w:rFonts w:hint="eastAsia" w:ascii="仿宋_GB2312" w:hAnsi="Times New Roman" w:cs="Times New Roman"/>
          <w:strike w:val="0"/>
          <w:dstrike w:val="0"/>
          <w:color w:val="auto"/>
          <w:kern w:val="2"/>
          <w:sz w:val="32"/>
          <w:szCs w:val="32"/>
          <w:lang w:val="en-US" w:eastAsia="zh-CN" w:bidi="ar-SA"/>
        </w:rPr>
        <w:t>。</w:t>
      </w:r>
    </w:p>
    <w:p w14:paraId="32F5E5D6">
      <w:pPr>
        <w:pageBreakBefore w:val="0"/>
        <w:numPr>
          <w:ilvl w:val="0"/>
          <w:numId w:val="0"/>
        </w:numPr>
        <w:kinsoku/>
        <w:wordWrap/>
        <w:overflowPunct/>
        <w:topLinePunct w:val="0"/>
        <w:autoSpaceDE/>
        <w:autoSpaceDN/>
        <w:bidi w:val="0"/>
        <w:adjustRightInd w:val="0"/>
        <w:snapToGrid/>
        <w:spacing w:line="520" w:lineRule="exact"/>
        <w:ind w:firstLine="640" w:firstLineChars="200"/>
        <w:textAlignment w:val="auto"/>
        <w:rPr>
          <w:rFonts w:hint="eastAsia" w:ascii="仿宋_GB2312" w:hAnsi="Times New Roman" w:eastAsia="仿宋_GB2312" w:cs="Times New Roman"/>
          <w:color w:val="auto"/>
          <w:kern w:val="2"/>
          <w:sz w:val="32"/>
          <w:szCs w:val="32"/>
          <w:lang w:val="en-US" w:eastAsia="zh-CN" w:bidi="ar-SA"/>
        </w:rPr>
      </w:pPr>
      <w:r>
        <w:rPr>
          <w:rFonts w:hint="eastAsia" w:ascii="仿宋_GB2312" w:hAnsi="Times New Roman" w:eastAsia="仿宋_GB2312" w:cs="Times New Roman"/>
          <w:color w:val="auto"/>
          <w:kern w:val="2"/>
          <w:sz w:val="32"/>
          <w:szCs w:val="32"/>
          <w:lang w:val="en-US" w:eastAsia="zh-CN" w:bidi="ar-SA"/>
        </w:rPr>
        <w:t>第十一条 收费部门所收资金缴入县财政专户，实行“收支两条线”管理。</w:t>
      </w:r>
    </w:p>
    <w:p w14:paraId="51AA15B3">
      <w:pPr>
        <w:pageBreakBefore w:val="0"/>
        <w:numPr>
          <w:ilvl w:val="0"/>
          <w:numId w:val="0"/>
        </w:numPr>
        <w:kinsoku/>
        <w:wordWrap/>
        <w:overflowPunct/>
        <w:topLinePunct w:val="0"/>
        <w:autoSpaceDE/>
        <w:autoSpaceDN/>
        <w:bidi w:val="0"/>
        <w:adjustRightInd w:val="0"/>
        <w:snapToGrid/>
        <w:spacing w:line="520" w:lineRule="exact"/>
        <w:ind w:firstLine="640" w:firstLineChars="200"/>
        <w:textAlignment w:val="auto"/>
        <w:rPr>
          <w:rFonts w:hint="eastAsia" w:ascii="仿宋_GB2312" w:cs="Times New Roman"/>
          <w:color w:val="auto"/>
          <w:kern w:val="2"/>
          <w:sz w:val="32"/>
          <w:szCs w:val="32"/>
          <w:highlight w:val="none"/>
          <w:u w:val="none"/>
          <w:lang w:val="en-US" w:eastAsia="zh-CN" w:bidi="ar-SA"/>
        </w:rPr>
      </w:pPr>
      <w:r>
        <w:rPr>
          <w:rFonts w:hint="eastAsia" w:ascii="仿宋_GB2312" w:cs="Times New Roman"/>
          <w:color w:val="auto"/>
          <w:kern w:val="2"/>
          <w:sz w:val="32"/>
          <w:szCs w:val="32"/>
          <w:lang w:val="en-US" w:eastAsia="zh-CN" w:bidi="ar-SA"/>
        </w:rPr>
        <w:t>第</w:t>
      </w:r>
      <w:r>
        <w:rPr>
          <w:rFonts w:hint="eastAsia" w:ascii="仿宋_GB2312" w:cs="Times New Roman"/>
          <w:color w:val="auto"/>
          <w:kern w:val="2"/>
          <w:sz w:val="32"/>
          <w:szCs w:val="32"/>
          <w:highlight w:val="none"/>
          <w:u w:val="none"/>
          <w:lang w:val="en-US" w:eastAsia="zh-CN" w:bidi="ar-SA"/>
        </w:rPr>
        <w:t>十二</w:t>
      </w:r>
      <w:r>
        <w:rPr>
          <w:rFonts w:hint="eastAsia" w:ascii="仿宋_GB2312" w:cs="Times New Roman"/>
          <w:color w:val="auto"/>
          <w:kern w:val="2"/>
          <w:sz w:val="32"/>
          <w:szCs w:val="32"/>
          <w:lang w:val="en-US" w:eastAsia="zh-CN" w:bidi="ar-SA"/>
        </w:rPr>
        <w:t xml:space="preserve">条 </w:t>
      </w:r>
      <w:r>
        <w:rPr>
          <w:rFonts w:hint="eastAsia" w:ascii="仿宋_GB2312" w:hAnsi="Times New Roman" w:eastAsia="仿宋_GB2312" w:cs="Times New Roman"/>
          <w:color w:val="auto"/>
          <w:kern w:val="2"/>
          <w:sz w:val="32"/>
          <w:szCs w:val="32"/>
          <w:lang w:val="en-US" w:eastAsia="zh-CN" w:bidi="ar-SA"/>
        </w:rPr>
        <w:t>本规定颁布实施后，</w:t>
      </w:r>
      <w:r>
        <w:rPr>
          <w:rFonts w:hint="eastAsia" w:ascii="仿宋_GB2312" w:hAnsi="Times New Roman" w:eastAsia="仿宋_GB2312" w:cs="Times New Roman"/>
          <w:color w:val="auto"/>
          <w:kern w:val="2"/>
          <w:sz w:val="32"/>
          <w:szCs w:val="32"/>
          <w:highlight w:val="none"/>
          <w:u w:val="none"/>
          <w:lang w:val="en-US" w:eastAsia="zh-CN" w:bidi="ar-SA"/>
        </w:rPr>
        <w:t>如国家、省、市出台相关新的征收政策文件时，城市基础设施配套费的征收标准则按新政策执行。</w:t>
      </w:r>
    </w:p>
    <w:p w14:paraId="3A6872A4">
      <w:pPr>
        <w:pageBreakBefore w:val="0"/>
        <w:numPr>
          <w:ilvl w:val="0"/>
          <w:numId w:val="0"/>
        </w:numPr>
        <w:kinsoku/>
        <w:wordWrap/>
        <w:overflowPunct/>
        <w:topLinePunct w:val="0"/>
        <w:autoSpaceDE/>
        <w:autoSpaceDN/>
        <w:bidi w:val="0"/>
        <w:adjustRightInd w:val="0"/>
        <w:snapToGrid/>
        <w:spacing w:line="520" w:lineRule="exact"/>
        <w:ind w:firstLine="640" w:firstLineChars="200"/>
        <w:textAlignment w:val="auto"/>
        <w:rPr>
          <w:rFonts w:hint="eastAsia" w:ascii="仿宋_GB2312" w:hAnsi="Times New Roman" w:eastAsia="仿宋_GB2312" w:cs="Times New Roman"/>
          <w:color w:val="auto"/>
          <w:kern w:val="2"/>
          <w:sz w:val="32"/>
          <w:szCs w:val="32"/>
          <w:highlight w:val="none"/>
          <w:u w:val="none"/>
          <w:lang w:val="en-US" w:eastAsia="zh-CN" w:bidi="ar-SA"/>
        </w:rPr>
      </w:pPr>
      <w:r>
        <w:rPr>
          <w:rFonts w:hint="eastAsia" w:ascii="仿宋_GB2312" w:cs="Times New Roman"/>
          <w:color w:val="auto"/>
          <w:kern w:val="2"/>
          <w:sz w:val="32"/>
          <w:szCs w:val="32"/>
          <w:highlight w:val="none"/>
          <w:u w:val="none"/>
          <w:lang w:val="en-US" w:eastAsia="zh-CN" w:bidi="ar-SA"/>
        </w:rPr>
        <w:t>第十三条 县</w:t>
      </w:r>
      <w:r>
        <w:rPr>
          <w:rFonts w:hint="eastAsia" w:ascii="仿宋_GB2312" w:hAnsi="Times New Roman" w:eastAsia="仿宋_GB2312" w:cs="Times New Roman"/>
          <w:color w:val="auto"/>
          <w:kern w:val="2"/>
          <w:sz w:val="32"/>
          <w:szCs w:val="32"/>
          <w:highlight w:val="none"/>
          <w:u w:val="none"/>
          <w:lang w:val="en-US" w:eastAsia="zh-CN" w:bidi="ar-SA"/>
        </w:rPr>
        <w:t>财政</w:t>
      </w:r>
      <w:r>
        <w:rPr>
          <w:rFonts w:hint="eastAsia" w:ascii="仿宋_GB2312" w:cs="Times New Roman"/>
          <w:color w:val="auto"/>
          <w:kern w:val="2"/>
          <w:sz w:val="32"/>
          <w:szCs w:val="32"/>
          <w:highlight w:val="none"/>
          <w:u w:val="none"/>
          <w:lang w:val="en-US" w:eastAsia="zh-CN" w:bidi="ar-SA"/>
        </w:rPr>
        <w:t>局</w:t>
      </w:r>
      <w:r>
        <w:rPr>
          <w:rFonts w:hint="eastAsia" w:ascii="仿宋_GB2312" w:hAnsi="Times New Roman" w:eastAsia="仿宋_GB2312" w:cs="Times New Roman"/>
          <w:color w:val="auto"/>
          <w:kern w:val="2"/>
          <w:sz w:val="32"/>
          <w:szCs w:val="32"/>
          <w:highlight w:val="none"/>
          <w:u w:val="none"/>
          <w:lang w:val="en-US" w:eastAsia="zh-CN" w:bidi="ar-SA"/>
        </w:rPr>
        <w:t>应加强对配套费收支执行情况的监督检查，对擅自设立收费项目、提高收费标准、扩大收费范围以及违反专款专用规定的行为要依照有关规定予以严肃查处。</w:t>
      </w:r>
    </w:p>
    <w:p w14:paraId="2F270A26">
      <w:pPr>
        <w:pageBreakBefore w:val="0"/>
        <w:numPr>
          <w:ilvl w:val="0"/>
          <w:numId w:val="0"/>
        </w:numPr>
        <w:kinsoku/>
        <w:wordWrap/>
        <w:overflowPunct/>
        <w:topLinePunct w:val="0"/>
        <w:autoSpaceDE/>
        <w:autoSpaceDN/>
        <w:bidi w:val="0"/>
        <w:adjustRightInd w:val="0"/>
        <w:snapToGrid/>
        <w:spacing w:line="520" w:lineRule="exact"/>
        <w:ind w:firstLine="640" w:firstLineChars="200"/>
        <w:textAlignment w:val="auto"/>
        <w:rPr>
          <w:rFonts w:hint="eastAsia" w:ascii="仿宋_GB2312" w:cs="Times New Roman"/>
          <w:color w:val="auto"/>
          <w:kern w:val="2"/>
          <w:sz w:val="32"/>
          <w:szCs w:val="32"/>
          <w:highlight w:val="none"/>
          <w:u w:val="none"/>
          <w:lang w:val="en-US" w:eastAsia="zh-CN" w:bidi="ar-SA"/>
        </w:rPr>
      </w:pPr>
      <w:r>
        <w:rPr>
          <w:rFonts w:hint="eastAsia" w:ascii="仿宋_GB2312" w:cs="Times New Roman"/>
          <w:color w:val="auto"/>
          <w:kern w:val="2"/>
          <w:sz w:val="32"/>
          <w:szCs w:val="32"/>
          <w:highlight w:val="none"/>
          <w:u w:val="none"/>
          <w:lang w:val="en-US" w:eastAsia="zh-CN" w:bidi="ar-SA"/>
        </w:rPr>
        <w:t>第十四条 本规定自下发之日起施行，《清流县人民政府关于印发清流县城市基础设施配套费征收管理规定的通知》清政文〔2021〕65 号同时废止。</w:t>
      </w:r>
    </w:p>
    <w:p w14:paraId="602B7929">
      <w:pPr>
        <w:pageBreakBefore w:val="0"/>
        <w:numPr>
          <w:ilvl w:val="0"/>
          <w:numId w:val="0"/>
        </w:numPr>
        <w:kinsoku/>
        <w:wordWrap/>
        <w:overflowPunct/>
        <w:topLinePunct w:val="0"/>
        <w:autoSpaceDE/>
        <w:autoSpaceDN/>
        <w:bidi w:val="0"/>
        <w:adjustRightInd w:val="0"/>
        <w:snapToGrid/>
        <w:spacing w:line="520" w:lineRule="exact"/>
        <w:ind w:firstLine="640" w:firstLineChars="200"/>
        <w:textAlignment w:val="auto"/>
        <w:rPr>
          <w:rFonts w:hint="eastAsia" w:ascii="仿宋_GB2312" w:cs="Times New Roman"/>
          <w:color w:val="FF0000"/>
          <w:kern w:val="2"/>
          <w:sz w:val="32"/>
          <w:szCs w:val="32"/>
          <w:highlight w:val="none"/>
          <w:u w:val="none"/>
          <w:lang w:val="en-US" w:eastAsia="zh-CN" w:bidi="ar-SA"/>
        </w:rPr>
      </w:pPr>
    </w:p>
    <w:p w14:paraId="323108C3">
      <w:pPr>
        <w:pageBreakBefore w:val="0"/>
        <w:numPr>
          <w:ilvl w:val="0"/>
          <w:numId w:val="0"/>
        </w:numPr>
        <w:kinsoku/>
        <w:wordWrap/>
        <w:overflowPunct/>
        <w:topLinePunct w:val="0"/>
        <w:autoSpaceDE/>
        <w:autoSpaceDN/>
        <w:bidi w:val="0"/>
        <w:adjustRightInd w:val="0"/>
        <w:snapToGrid/>
        <w:spacing w:line="520" w:lineRule="exact"/>
        <w:ind w:left="629" w:leftChars="0"/>
        <w:textAlignment w:val="auto"/>
        <w:rPr>
          <w:rFonts w:hint="eastAsia" w:ascii="仿宋_GB2312" w:cs="Times New Roman"/>
          <w:kern w:val="2"/>
          <w:sz w:val="32"/>
          <w:szCs w:val="32"/>
          <w:lang w:val="en-US" w:eastAsia="zh-CN" w:bidi="ar-SA"/>
        </w:rPr>
      </w:pPr>
      <w:r>
        <w:rPr>
          <w:rFonts w:hint="eastAsia" w:ascii="仿宋_GB2312" w:cs="Times New Roman"/>
          <w:kern w:val="2"/>
          <w:sz w:val="32"/>
          <w:szCs w:val="32"/>
          <w:lang w:val="en-US" w:eastAsia="zh-CN" w:bidi="ar-SA"/>
        </w:rPr>
        <w:t>附表：一、清流县城市基础设施配套费征收标准</w:t>
      </w:r>
    </w:p>
    <w:p w14:paraId="5EE8ED12">
      <w:pPr>
        <w:pageBreakBefore w:val="0"/>
        <w:numPr>
          <w:ilvl w:val="0"/>
          <w:numId w:val="1"/>
        </w:numPr>
        <w:kinsoku/>
        <w:wordWrap/>
        <w:overflowPunct/>
        <w:topLinePunct w:val="0"/>
        <w:autoSpaceDE/>
        <w:autoSpaceDN/>
        <w:bidi w:val="0"/>
        <w:adjustRightInd w:val="0"/>
        <w:snapToGrid/>
        <w:spacing w:line="520" w:lineRule="exact"/>
        <w:ind w:left="1589" w:leftChars="0" w:firstLine="0" w:firstLineChars="0"/>
        <w:textAlignment w:val="auto"/>
        <w:rPr>
          <w:rFonts w:hint="eastAsia" w:ascii="仿宋_GB2312" w:cs="Times New Roman"/>
          <w:kern w:val="2"/>
          <w:sz w:val="32"/>
          <w:szCs w:val="32"/>
          <w:lang w:val="en-US" w:eastAsia="zh-CN" w:bidi="ar-SA"/>
        </w:rPr>
      </w:pPr>
      <w:r>
        <w:rPr>
          <w:rFonts w:hint="eastAsia" w:ascii="仿宋_GB2312" w:cs="Times New Roman"/>
          <w:kern w:val="2"/>
          <w:sz w:val="32"/>
          <w:szCs w:val="32"/>
          <w:lang w:val="en-US" w:eastAsia="zh-CN" w:bidi="ar-SA"/>
        </w:rPr>
        <w:t>清流县城区及各乡镇主要地段土地分类</w:t>
      </w:r>
    </w:p>
    <w:p w14:paraId="13E98A3D">
      <w:pPr>
        <w:pageBreakBefore w:val="0"/>
        <w:numPr>
          <w:ilvl w:val="0"/>
          <w:numId w:val="1"/>
        </w:numPr>
        <w:kinsoku/>
        <w:wordWrap/>
        <w:overflowPunct/>
        <w:topLinePunct w:val="0"/>
        <w:autoSpaceDE/>
        <w:autoSpaceDN/>
        <w:bidi w:val="0"/>
        <w:adjustRightInd w:val="0"/>
        <w:snapToGrid/>
        <w:spacing w:line="520" w:lineRule="exact"/>
        <w:ind w:left="1589" w:leftChars="0" w:firstLine="0" w:firstLineChars="0"/>
        <w:textAlignment w:val="auto"/>
        <w:rPr>
          <w:rFonts w:hint="default" w:ascii="仿宋_GB2312" w:cs="Times New Roman"/>
          <w:kern w:val="2"/>
          <w:sz w:val="32"/>
          <w:szCs w:val="32"/>
          <w:lang w:val="en-US" w:eastAsia="zh-CN" w:bidi="ar-SA"/>
        </w:rPr>
      </w:pPr>
      <w:r>
        <w:rPr>
          <w:rFonts w:hint="eastAsia" w:ascii="仿宋_GB2312" w:cs="Times New Roman"/>
          <w:kern w:val="2"/>
          <w:sz w:val="32"/>
          <w:szCs w:val="32"/>
          <w:lang w:val="en-US" w:eastAsia="zh-CN" w:bidi="ar-SA"/>
        </w:rPr>
        <w:t>清流县城市基础设施配套费减征、免征审批表</w:t>
      </w:r>
    </w:p>
    <w:p w14:paraId="6709C072">
      <w:pPr>
        <w:pageBreakBefore w:val="0"/>
        <w:pBdr>
          <w:top w:val="single" w:color="auto" w:sz="4" w:space="0"/>
          <w:bottom w:val="single" w:color="auto" w:sz="4" w:space="0"/>
        </w:pBdr>
        <w:kinsoku/>
        <w:wordWrap/>
        <w:overflowPunct/>
        <w:topLinePunct w:val="0"/>
        <w:autoSpaceDE/>
        <w:autoSpaceDN/>
        <w:bidi w:val="0"/>
        <w:adjustRightInd w:val="0"/>
        <w:snapToGrid/>
        <w:spacing w:line="560" w:lineRule="exact"/>
        <w:ind w:firstLine="321" w:firstLineChars="0"/>
        <w:rPr>
          <w:rFonts w:hint="default" w:ascii="仿宋_GB2312" w:cs="Times New Roman"/>
          <w:kern w:val="2"/>
          <w:sz w:val="32"/>
          <w:szCs w:val="32"/>
          <w:lang w:val="en-US" w:eastAsia="zh-CN" w:bidi="ar-SA"/>
        </w:r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p>
    <w:p w14:paraId="59045217">
      <w:pPr>
        <w:pageBreakBefore w:val="0"/>
        <w:kinsoku/>
        <w:wordWrap/>
        <w:overflowPunct/>
        <w:topLinePunct w:val="0"/>
        <w:autoSpaceDE/>
        <w:autoSpaceDN/>
        <w:bidi w:val="0"/>
        <w:adjustRightInd w:val="0"/>
        <w:snapToGrid/>
        <w:spacing w:line="560" w:lineRule="exact"/>
        <w:rPr>
          <w:rFonts w:hint="eastAsia" w:ascii="仿宋_GB2312" w:cs="Times New Roman"/>
          <w:kern w:val="2"/>
          <w:sz w:val="32"/>
          <w:szCs w:val="32"/>
          <w:lang w:val="en-US" w:eastAsia="zh-CN" w:bidi="ar-SA"/>
        </w:rPr>
      </w:pPr>
      <w:r>
        <w:rPr>
          <w:rFonts w:hint="eastAsia" w:ascii="仿宋_GB2312" w:cs="Times New Roman"/>
          <w:kern w:val="2"/>
          <w:sz w:val="32"/>
          <w:szCs w:val="32"/>
          <w:lang w:val="en-US" w:eastAsia="zh-CN" w:bidi="ar-SA"/>
        </w:rPr>
        <w:t>附表一：</w:t>
      </w:r>
    </w:p>
    <w:p w14:paraId="390006F6">
      <w:pPr>
        <w:pageBreakBefore w:val="0"/>
        <w:kinsoku/>
        <w:wordWrap/>
        <w:overflowPunct/>
        <w:topLinePunct w:val="0"/>
        <w:autoSpaceDE/>
        <w:autoSpaceDN/>
        <w:bidi w:val="0"/>
        <w:adjustRightInd w:val="0"/>
        <w:snapToGrid/>
        <w:spacing w:line="560" w:lineRule="exact"/>
        <w:jc w:val="center"/>
        <w:rPr>
          <w:rFonts w:hint="eastAsia" w:ascii="仿宋_GB2312" w:cs="Times New Roman"/>
          <w:b/>
          <w:bCs/>
          <w:kern w:val="2"/>
          <w:sz w:val="36"/>
          <w:szCs w:val="36"/>
          <w:lang w:val="en-US" w:eastAsia="zh-CN" w:bidi="ar-SA"/>
        </w:rPr>
      </w:pPr>
      <w:r>
        <w:rPr>
          <w:rFonts w:hint="eastAsia" w:ascii="仿宋_GB2312" w:cs="Times New Roman"/>
          <w:b/>
          <w:bCs/>
          <w:kern w:val="2"/>
          <w:sz w:val="36"/>
          <w:szCs w:val="36"/>
          <w:lang w:val="en-US" w:eastAsia="zh-CN" w:bidi="ar-SA"/>
        </w:rPr>
        <w:t>清流县城市基础设施配套费征收标准</w:t>
      </w:r>
    </w:p>
    <w:p w14:paraId="3C5CC013">
      <w:pPr>
        <w:pageBreakBefore w:val="0"/>
        <w:kinsoku/>
        <w:wordWrap/>
        <w:overflowPunct/>
        <w:topLinePunct w:val="0"/>
        <w:autoSpaceDE/>
        <w:autoSpaceDN/>
        <w:bidi w:val="0"/>
        <w:adjustRightInd w:val="0"/>
        <w:snapToGrid/>
        <w:spacing w:line="560" w:lineRule="exact"/>
        <w:jc w:val="right"/>
        <w:rPr>
          <w:rFonts w:hint="eastAsia" w:ascii="仿宋_GB2312" w:cs="Times New Roman"/>
          <w:kern w:val="2"/>
          <w:sz w:val="32"/>
          <w:szCs w:val="32"/>
          <w:vertAlign w:val="superscript"/>
          <w:lang w:val="en-US" w:eastAsia="zh-CN" w:bidi="ar-SA"/>
        </w:rPr>
      </w:pPr>
      <w:r>
        <w:rPr>
          <w:rFonts w:hint="eastAsia" w:ascii="仿宋_GB2312" w:cs="Times New Roman"/>
          <w:kern w:val="2"/>
          <w:sz w:val="32"/>
          <w:szCs w:val="32"/>
          <w:lang w:val="en-US" w:eastAsia="zh-CN" w:bidi="ar-SA"/>
        </w:rPr>
        <w:t>单位：元/m</w:t>
      </w:r>
      <w:r>
        <w:rPr>
          <w:rFonts w:hint="eastAsia" w:ascii="仿宋_GB2312" w:cs="Times New Roman"/>
          <w:kern w:val="2"/>
          <w:sz w:val="32"/>
          <w:szCs w:val="32"/>
          <w:vertAlign w:val="superscript"/>
          <w:lang w:val="en-US" w:eastAsia="zh-CN" w:bidi="ar-SA"/>
        </w:rPr>
        <w:t>2</w:t>
      </w:r>
    </w:p>
    <w:p w14:paraId="6DED0F01">
      <w:pPr>
        <w:pageBreakBefore w:val="0"/>
        <w:kinsoku/>
        <w:wordWrap/>
        <w:overflowPunct/>
        <w:topLinePunct w:val="0"/>
        <w:autoSpaceDE/>
        <w:autoSpaceDN/>
        <w:bidi w:val="0"/>
        <w:adjustRightInd w:val="0"/>
        <w:snapToGrid/>
        <w:spacing w:line="560" w:lineRule="exact"/>
        <w:jc w:val="both"/>
        <w:rPr>
          <w:rFonts w:hint="default" w:ascii="仿宋_GB2312" w:cs="Times New Roman"/>
          <w:kern w:val="2"/>
          <w:sz w:val="32"/>
          <w:szCs w:val="32"/>
          <w:vertAlign w:val="superscript"/>
          <w:lang w:val="en-US" w:eastAsia="zh-CN" w:bidi="ar-SA"/>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85"/>
        <w:gridCol w:w="1176"/>
        <w:gridCol w:w="1176"/>
        <w:gridCol w:w="1176"/>
        <w:gridCol w:w="1176"/>
        <w:gridCol w:w="1176"/>
        <w:gridCol w:w="1176"/>
        <w:gridCol w:w="1176"/>
        <w:gridCol w:w="1176"/>
        <w:gridCol w:w="1181"/>
      </w:tblGrid>
      <w:tr w14:paraId="21352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3585" w:type="dxa"/>
            <w:vMerge w:val="restart"/>
            <w:vAlign w:val="center"/>
          </w:tcPr>
          <w:p w14:paraId="173D6DD2">
            <w:pPr>
              <w:pageBreakBefore w:val="0"/>
              <w:kinsoku/>
              <w:wordWrap/>
              <w:overflowPunct/>
              <w:topLinePunct w:val="0"/>
              <w:autoSpaceDE/>
              <w:autoSpaceDN/>
              <w:bidi w:val="0"/>
              <w:adjustRightInd w:val="0"/>
              <w:snapToGrid/>
              <w:spacing w:line="560" w:lineRule="exact"/>
              <w:jc w:val="center"/>
              <w:rPr>
                <w:rFonts w:hint="eastAsia" w:ascii="仿宋_GB2312" w:cs="Times New Roman"/>
                <w:kern w:val="2"/>
                <w:sz w:val="32"/>
                <w:szCs w:val="32"/>
                <w:vertAlign w:val="baseline"/>
                <w:lang w:val="en-US" w:eastAsia="zh-CN" w:bidi="ar-SA"/>
              </w:rPr>
            </w:pPr>
            <w:r>
              <w:rPr>
                <w:rFonts w:hint="eastAsia" w:ascii="仿宋_GB2312" w:cs="Times New Roman"/>
                <w:kern w:val="2"/>
                <w:sz w:val="32"/>
                <w:szCs w:val="32"/>
                <w:vertAlign w:val="baseline"/>
                <w:lang w:val="en-US" w:eastAsia="zh-CN" w:bidi="ar-SA"/>
              </w:rPr>
              <w:t>名      称</w:t>
            </w:r>
          </w:p>
        </w:tc>
        <w:tc>
          <w:tcPr>
            <w:tcW w:w="3528" w:type="dxa"/>
            <w:gridSpan w:val="3"/>
            <w:vAlign w:val="center"/>
          </w:tcPr>
          <w:p w14:paraId="29965403">
            <w:pPr>
              <w:pageBreakBefore w:val="0"/>
              <w:kinsoku/>
              <w:wordWrap/>
              <w:overflowPunct/>
              <w:topLinePunct w:val="0"/>
              <w:autoSpaceDE/>
              <w:autoSpaceDN/>
              <w:bidi w:val="0"/>
              <w:adjustRightInd w:val="0"/>
              <w:snapToGrid/>
              <w:spacing w:line="560" w:lineRule="exact"/>
              <w:jc w:val="center"/>
              <w:rPr>
                <w:rFonts w:hint="eastAsia" w:ascii="仿宋_GB2312" w:cs="Times New Roman"/>
                <w:kern w:val="2"/>
                <w:sz w:val="32"/>
                <w:szCs w:val="32"/>
                <w:vertAlign w:val="baseline"/>
                <w:lang w:val="en-US" w:eastAsia="zh-CN" w:bidi="ar-SA"/>
              </w:rPr>
            </w:pPr>
            <w:r>
              <w:rPr>
                <w:rFonts w:hint="eastAsia" w:ascii="仿宋_GB2312" w:cs="Times New Roman"/>
                <w:kern w:val="2"/>
                <w:sz w:val="32"/>
                <w:szCs w:val="32"/>
                <w:vertAlign w:val="baseline"/>
                <w:lang w:val="en-US" w:eastAsia="zh-CN" w:bidi="ar-SA"/>
              </w:rPr>
              <w:t>住      宅</w:t>
            </w:r>
          </w:p>
        </w:tc>
        <w:tc>
          <w:tcPr>
            <w:tcW w:w="3528" w:type="dxa"/>
            <w:gridSpan w:val="3"/>
            <w:vAlign w:val="center"/>
          </w:tcPr>
          <w:p w14:paraId="49547E2A">
            <w:pPr>
              <w:pageBreakBefore w:val="0"/>
              <w:kinsoku/>
              <w:wordWrap/>
              <w:overflowPunct/>
              <w:topLinePunct w:val="0"/>
              <w:autoSpaceDE/>
              <w:autoSpaceDN/>
              <w:bidi w:val="0"/>
              <w:adjustRightInd w:val="0"/>
              <w:snapToGrid/>
              <w:spacing w:line="560" w:lineRule="exact"/>
              <w:jc w:val="center"/>
              <w:rPr>
                <w:rFonts w:hint="eastAsia" w:ascii="仿宋_GB2312" w:cs="Times New Roman"/>
                <w:kern w:val="2"/>
                <w:sz w:val="32"/>
                <w:szCs w:val="32"/>
                <w:vertAlign w:val="baseline"/>
                <w:lang w:val="en-US" w:eastAsia="zh-CN" w:bidi="ar-SA"/>
              </w:rPr>
            </w:pPr>
            <w:r>
              <w:rPr>
                <w:rFonts w:hint="eastAsia" w:ascii="仿宋_GB2312" w:cs="Times New Roman"/>
                <w:kern w:val="2"/>
                <w:sz w:val="32"/>
                <w:szCs w:val="32"/>
                <w:vertAlign w:val="baseline"/>
                <w:lang w:val="en-US" w:eastAsia="zh-CN" w:bidi="ar-SA"/>
              </w:rPr>
              <w:t>商业（含写字楼）</w:t>
            </w:r>
          </w:p>
        </w:tc>
        <w:tc>
          <w:tcPr>
            <w:tcW w:w="3533" w:type="dxa"/>
            <w:gridSpan w:val="3"/>
            <w:vAlign w:val="center"/>
          </w:tcPr>
          <w:p w14:paraId="3EF5F023">
            <w:pPr>
              <w:pageBreakBefore w:val="0"/>
              <w:kinsoku/>
              <w:wordWrap/>
              <w:overflowPunct/>
              <w:topLinePunct w:val="0"/>
              <w:autoSpaceDE/>
              <w:autoSpaceDN/>
              <w:bidi w:val="0"/>
              <w:adjustRightInd w:val="0"/>
              <w:snapToGrid/>
              <w:spacing w:line="560" w:lineRule="exact"/>
              <w:jc w:val="center"/>
              <w:rPr>
                <w:rFonts w:hint="eastAsia" w:ascii="仿宋_GB2312" w:cs="Times New Roman"/>
                <w:kern w:val="2"/>
                <w:sz w:val="32"/>
                <w:szCs w:val="32"/>
                <w:vertAlign w:val="baseline"/>
                <w:lang w:val="en-US" w:eastAsia="zh-CN" w:bidi="ar-SA"/>
              </w:rPr>
            </w:pPr>
            <w:r>
              <w:rPr>
                <w:rFonts w:hint="eastAsia" w:ascii="仿宋_GB2312" w:cs="Times New Roman"/>
                <w:kern w:val="2"/>
                <w:sz w:val="32"/>
                <w:szCs w:val="32"/>
                <w:vertAlign w:val="baseline"/>
                <w:lang w:val="en-US" w:eastAsia="zh-CN" w:bidi="ar-SA"/>
              </w:rPr>
              <w:t>工     业</w:t>
            </w:r>
          </w:p>
        </w:tc>
      </w:tr>
      <w:tr w14:paraId="336C7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585" w:type="dxa"/>
            <w:vMerge w:val="continue"/>
            <w:vAlign w:val="center"/>
          </w:tcPr>
          <w:p w14:paraId="79CA26DF">
            <w:pPr>
              <w:pageBreakBefore w:val="0"/>
              <w:kinsoku/>
              <w:wordWrap/>
              <w:overflowPunct/>
              <w:topLinePunct w:val="0"/>
              <w:autoSpaceDE/>
              <w:autoSpaceDN/>
              <w:bidi w:val="0"/>
              <w:adjustRightInd w:val="0"/>
              <w:snapToGrid/>
              <w:spacing w:line="560" w:lineRule="exact"/>
              <w:jc w:val="center"/>
              <w:rPr>
                <w:rFonts w:hint="eastAsia" w:ascii="仿宋_GB2312" w:cs="Times New Roman"/>
                <w:kern w:val="2"/>
                <w:sz w:val="32"/>
                <w:szCs w:val="32"/>
                <w:vertAlign w:val="baseline"/>
                <w:lang w:val="en-US" w:eastAsia="zh-CN" w:bidi="ar-SA"/>
              </w:rPr>
            </w:pPr>
          </w:p>
        </w:tc>
        <w:tc>
          <w:tcPr>
            <w:tcW w:w="1176" w:type="dxa"/>
            <w:vAlign w:val="center"/>
          </w:tcPr>
          <w:p w14:paraId="3B012D24">
            <w:pPr>
              <w:pageBreakBefore w:val="0"/>
              <w:kinsoku/>
              <w:wordWrap/>
              <w:overflowPunct/>
              <w:topLinePunct w:val="0"/>
              <w:autoSpaceDE/>
              <w:autoSpaceDN/>
              <w:bidi w:val="0"/>
              <w:adjustRightInd w:val="0"/>
              <w:snapToGrid/>
              <w:spacing w:line="560" w:lineRule="exact"/>
              <w:jc w:val="center"/>
              <w:rPr>
                <w:rFonts w:hint="eastAsia" w:ascii="仿宋_GB2312" w:cs="Times New Roman"/>
                <w:kern w:val="2"/>
                <w:sz w:val="32"/>
                <w:szCs w:val="32"/>
                <w:vertAlign w:val="baseline"/>
                <w:lang w:val="en-US" w:eastAsia="zh-CN" w:bidi="ar-SA"/>
              </w:rPr>
            </w:pPr>
            <w:r>
              <w:rPr>
                <w:rFonts w:hint="eastAsia" w:ascii="仿宋_GB2312" w:cs="Times New Roman"/>
                <w:kern w:val="2"/>
                <w:sz w:val="32"/>
                <w:szCs w:val="32"/>
                <w:vertAlign w:val="baseline"/>
                <w:lang w:val="en-US" w:eastAsia="zh-CN" w:bidi="ar-SA"/>
              </w:rPr>
              <w:t>一类</w:t>
            </w:r>
          </w:p>
        </w:tc>
        <w:tc>
          <w:tcPr>
            <w:tcW w:w="1176" w:type="dxa"/>
            <w:vAlign w:val="center"/>
          </w:tcPr>
          <w:p w14:paraId="5A418A2F">
            <w:pPr>
              <w:pageBreakBefore w:val="0"/>
              <w:kinsoku/>
              <w:wordWrap/>
              <w:overflowPunct/>
              <w:topLinePunct w:val="0"/>
              <w:autoSpaceDE/>
              <w:autoSpaceDN/>
              <w:bidi w:val="0"/>
              <w:adjustRightInd w:val="0"/>
              <w:snapToGrid/>
              <w:spacing w:line="560" w:lineRule="exact"/>
              <w:jc w:val="center"/>
              <w:rPr>
                <w:rFonts w:hint="eastAsia" w:ascii="仿宋_GB2312" w:cs="Times New Roman"/>
                <w:kern w:val="2"/>
                <w:sz w:val="32"/>
                <w:szCs w:val="32"/>
                <w:vertAlign w:val="baseline"/>
                <w:lang w:val="en-US" w:eastAsia="zh-CN" w:bidi="ar-SA"/>
              </w:rPr>
            </w:pPr>
            <w:r>
              <w:rPr>
                <w:rFonts w:hint="eastAsia" w:ascii="仿宋_GB2312" w:cs="Times New Roman"/>
                <w:kern w:val="2"/>
                <w:sz w:val="32"/>
                <w:szCs w:val="32"/>
                <w:vertAlign w:val="baseline"/>
                <w:lang w:val="en-US" w:eastAsia="zh-CN" w:bidi="ar-SA"/>
              </w:rPr>
              <w:t>二类</w:t>
            </w:r>
          </w:p>
        </w:tc>
        <w:tc>
          <w:tcPr>
            <w:tcW w:w="1176" w:type="dxa"/>
            <w:vAlign w:val="center"/>
          </w:tcPr>
          <w:p w14:paraId="1587FC2C">
            <w:pPr>
              <w:pageBreakBefore w:val="0"/>
              <w:kinsoku/>
              <w:wordWrap/>
              <w:overflowPunct/>
              <w:topLinePunct w:val="0"/>
              <w:autoSpaceDE/>
              <w:autoSpaceDN/>
              <w:bidi w:val="0"/>
              <w:adjustRightInd w:val="0"/>
              <w:snapToGrid/>
              <w:spacing w:line="560" w:lineRule="exact"/>
              <w:jc w:val="center"/>
              <w:rPr>
                <w:rFonts w:hint="eastAsia" w:ascii="仿宋_GB2312" w:cs="Times New Roman"/>
                <w:kern w:val="2"/>
                <w:sz w:val="32"/>
                <w:szCs w:val="32"/>
                <w:vertAlign w:val="baseline"/>
                <w:lang w:val="en-US" w:eastAsia="zh-CN" w:bidi="ar-SA"/>
              </w:rPr>
            </w:pPr>
            <w:r>
              <w:rPr>
                <w:rFonts w:hint="eastAsia" w:ascii="仿宋_GB2312" w:cs="Times New Roman"/>
                <w:kern w:val="2"/>
                <w:sz w:val="32"/>
                <w:szCs w:val="32"/>
                <w:vertAlign w:val="baseline"/>
                <w:lang w:val="en-US" w:eastAsia="zh-CN" w:bidi="ar-SA"/>
              </w:rPr>
              <w:t>三类</w:t>
            </w:r>
          </w:p>
        </w:tc>
        <w:tc>
          <w:tcPr>
            <w:tcW w:w="1176" w:type="dxa"/>
            <w:vAlign w:val="center"/>
          </w:tcPr>
          <w:p w14:paraId="6CE3C5CC">
            <w:pPr>
              <w:pageBreakBefore w:val="0"/>
              <w:kinsoku/>
              <w:wordWrap/>
              <w:overflowPunct/>
              <w:topLinePunct w:val="0"/>
              <w:autoSpaceDE/>
              <w:autoSpaceDN/>
              <w:bidi w:val="0"/>
              <w:adjustRightInd w:val="0"/>
              <w:snapToGrid/>
              <w:spacing w:line="560" w:lineRule="exact"/>
              <w:jc w:val="center"/>
              <w:rPr>
                <w:rFonts w:hint="eastAsia" w:ascii="仿宋_GB2312" w:cs="Times New Roman"/>
                <w:kern w:val="2"/>
                <w:sz w:val="32"/>
                <w:szCs w:val="32"/>
                <w:vertAlign w:val="baseline"/>
                <w:lang w:val="en-US" w:eastAsia="zh-CN" w:bidi="ar-SA"/>
              </w:rPr>
            </w:pPr>
            <w:r>
              <w:rPr>
                <w:rFonts w:hint="eastAsia" w:ascii="仿宋_GB2312" w:cs="Times New Roman"/>
                <w:kern w:val="2"/>
                <w:sz w:val="32"/>
                <w:szCs w:val="32"/>
                <w:vertAlign w:val="baseline"/>
                <w:lang w:val="en-US" w:eastAsia="zh-CN" w:bidi="ar-SA"/>
              </w:rPr>
              <w:t>一类</w:t>
            </w:r>
          </w:p>
        </w:tc>
        <w:tc>
          <w:tcPr>
            <w:tcW w:w="1176" w:type="dxa"/>
            <w:vAlign w:val="center"/>
          </w:tcPr>
          <w:p w14:paraId="76D5CC69">
            <w:pPr>
              <w:pageBreakBefore w:val="0"/>
              <w:kinsoku/>
              <w:wordWrap/>
              <w:overflowPunct/>
              <w:topLinePunct w:val="0"/>
              <w:autoSpaceDE/>
              <w:autoSpaceDN/>
              <w:bidi w:val="0"/>
              <w:adjustRightInd w:val="0"/>
              <w:snapToGrid/>
              <w:spacing w:line="560" w:lineRule="exact"/>
              <w:jc w:val="center"/>
              <w:rPr>
                <w:rFonts w:hint="eastAsia" w:ascii="仿宋_GB2312" w:cs="Times New Roman"/>
                <w:kern w:val="2"/>
                <w:sz w:val="32"/>
                <w:szCs w:val="32"/>
                <w:vertAlign w:val="baseline"/>
                <w:lang w:val="en-US" w:eastAsia="zh-CN" w:bidi="ar-SA"/>
              </w:rPr>
            </w:pPr>
            <w:r>
              <w:rPr>
                <w:rFonts w:hint="eastAsia" w:ascii="仿宋_GB2312" w:cs="Times New Roman"/>
                <w:kern w:val="2"/>
                <w:sz w:val="32"/>
                <w:szCs w:val="32"/>
                <w:vertAlign w:val="baseline"/>
                <w:lang w:val="en-US" w:eastAsia="zh-CN" w:bidi="ar-SA"/>
              </w:rPr>
              <w:t>二类</w:t>
            </w:r>
          </w:p>
        </w:tc>
        <w:tc>
          <w:tcPr>
            <w:tcW w:w="1176" w:type="dxa"/>
            <w:vAlign w:val="center"/>
          </w:tcPr>
          <w:p w14:paraId="29942DE1">
            <w:pPr>
              <w:pageBreakBefore w:val="0"/>
              <w:kinsoku/>
              <w:wordWrap/>
              <w:overflowPunct/>
              <w:topLinePunct w:val="0"/>
              <w:autoSpaceDE/>
              <w:autoSpaceDN/>
              <w:bidi w:val="0"/>
              <w:adjustRightInd w:val="0"/>
              <w:snapToGrid/>
              <w:spacing w:line="560" w:lineRule="exact"/>
              <w:jc w:val="center"/>
              <w:rPr>
                <w:rFonts w:hint="eastAsia" w:ascii="仿宋_GB2312" w:cs="Times New Roman"/>
                <w:kern w:val="2"/>
                <w:sz w:val="32"/>
                <w:szCs w:val="32"/>
                <w:vertAlign w:val="baseline"/>
                <w:lang w:val="en-US" w:eastAsia="zh-CN" w:bidi="ar-SA"/>
              </w:rPr>
            </w:pPr>
            <w:r>
              <w:rPr>
                <w:rFonts w:hint="eastAsia" w:ascii="仿宋_GB2312" w:cs="Times New Roman"/>
                <w:kern w:val="2"/>
                <w:sz w:val="32"/>
                <w:szCs w:val="32"/>
                <w:vertAlign w:val="baseline"/>
                <w:lang w:val="en-US" w:eastAsia="zh-CN" w:bidi="ar-SA"/>
              </w:rPr>
              <w:t>三类</w:t>
            </w:r>
          </w:p>
        </w:tc>
        <w:tc>
          <w:tcPr>
            <w:tcW w:w="1176" w:type="dxa"/>
            <w:vAlign w:val="center"/>
          </w:tcPr>
          <w:p w14:paraId="26DB3D28">
            <w:pPr>
              <w:pageBreakBefore w:val="0"/>
              <w:kinsoku/>
              <w:wordWrap/>
              <w:overflowPunct/>
              <w:topLinePunct w:val="0"/>
              <w:autoSpaceDE/>
              <w:autoSpaceDN/>
              <w:bidi w:val="0"/>
              <w:adjustRightInd w:val="0"/>
              <w:snapToGrid/>
              <w:spacing w:line="560" w:lineRule="exact"/>
              <w:jc w:val="center"/>
              <w:rPr>
                <w:rFonts w:hint="eastAsia" w:ascii="仿宋_GB2312" w:hAnsi="Times New Roman" w:eastAsia="仿宋_GB2312" w:cs="Times New Roman"/>
                <w:kern w:val="2"/>
                <w:sz w:val="32"/>
                <w:szCs w:val="32"/>
                <w:vertAlign w:val="baseline"/>
                <w:lang w:val="en-US" w:eastAsia="zh-CN" w:bidi="ar-SA"/>
              </w:rPr>
            </w:pPr>
            <w:r>
              <w:rPr>
                <w:rFonts w:hint="eastAsia" w:ascii="仿宋_GB2312" w:cs="Times New Roman"/>
                <w:kern w:val="2"/>
                <w:sz w:val="32"/>
                <w:szCs w:val="32"/>
                <w:vertAlign w:val="baseline"/>
                <w:lang w:val="en-US" w:eastAsia="zh-CN" w:bidi="ar-SA"/>
              </w:rPr>
              <w:t>一类</w:t>
            </w:r>
          </w:p>
        </w:tc>
        <w:tc>
          <w:tcPr>
            <w:tcW w:w="1176" w:type="dxa"/>
            <w:vAlign w:val="center"/>
          </w:tcPr>
          <w:p w14:paraId="78600011">
            <w:pPr>
              <w:pageBreakBefore w:val="0"/>
              <w:kinsoku/>
              <w:wordWrap/>
              <w:overflowPunct/>
              <w:topLinePunct w:val="0"/>
              <w:autoSpaceDE/>
              <w:autoSpaceDN/>
              <w:bidi w:val="0"/>
              <w:adjustRightInd w:val="0"/>
              <w:snapToGrid/>
              <w:spacing w:line="560" w:lineRule="exact"/>
              <w:jc w:val="center"/>
              <w:rPr>
                <w:rFonts w:hint="eastAsia" w:ascii="仿宋_GB2312" w:hAnsi="Times New Roman" w:eastAsia="仿宋_GB2312" w:cs="Times New Roman"/>
                <w:kern w:val="2"/>
                <w:sz w:val="32"/>
                <w:szCs w:val="32"/>
                <w:vertAlign w:val="baseline"/>
                <w:lang w:val="en-US" w:eastAsia="zh-CN" w:bidi="ar-SA"/>
              </w:rPr>
            </w:pPr>
            <w:r>
              <w:rPr>
                <w:rFonts w:hint="eastAsia" w:ascii="仿宋_GB2312" w:cs="Times New Roman"/>
                <w:kern w:val="2"/>
                <w:sz w:val="32"/>
                <w:szCs w:val="32"/>
                <w:vertAlign w:val="baseline"/>
                <w:lang w:val="en-US" w:eastAsia="zh-CN" w:bidi="ar-SA"/>
              </w:rPr>
              <w:t>二类</w:t>
            </w:r>
          </w:p>
        </w:tc>
        <w:tc>
          <w:tcPr>
            <w:tcW w:w="1181" w:type="dxa"/>
            <w:vAlign w:val="center"/>
          </w:tcPr>
          <w:p w14:paraId="7C956DA6">
            <w:pPr>
              <w:pageBreakBefore w:val="0"/>
              <w:kinsoku/>
              <w:wordWrap/>
              <w:overflowPunct/>
              <w:topLinePunct w:val="0"/>
              <w:autoSpaceDE/>
              <w:autoSpaceDN/>
              <w:bidi w:val="0"/>
              <w:adjustRightInd w:val="0"/>
              <w:snapToGrid/>
              <w:spacing w:line="560" w:lineRule="exact"/>
              <w:jc w:val="center"/>
              <w:rPr>
                <w:rFonts w:hint="eastAsia" w:ascii="仿宋_GB2312" w:hAnsi="Times New Roman" w:eastAsia="仿宋_GB2312" w:cs="Times New Roman"/>
                <w:kern w:val="2"/>
                <w:sz w:val="32"/>
                <w:szCs w:val="32"/>
                <w:vertAlign w:val="baseline"/>
                <w:lang w:val="en-US" w:eastAsia="zh-CN" w:bidi="ar-SA"/>
              </w:rPr>
            </w:pPr>
            <w:r>
              <w:rPr>
                <w:rFonts w:hint="eastAsia" w:ascii="仿宋_GB2312" w:cs="Times New Roman"/>
                <w:kern w:val="2"/>
                <w:sz w:val="32"/>
                <w:szCs w:val="32"/>
                <w:vertAlign w:val="baseline"/>
                <w:lang w:val="en-US" w:eastAsia="zh-CN" w:bidi="ar-SA"/>
              </w:rPr>
              <w:t>三类</w:t>
            </w:r>
          </w:p>
        </w:tc>
      </w:tr>
      <w:tr w14:paraId="0E66F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0" w:hRule="atLeast"/>
        </w:trPr>
        <w:tc>
          <w:tcPr>
            <w:tcW w:w="3585" w:type="dxa"/>
            <w:vAlign w:val="center"/>
          </w:tcPr>
          <w:p w14:paraId="72CD4A9B">
            <w:pPr>
              <w:pageBreakBefore w:val="0"/>
              <w:kinsoku/>
              <w:wordWrap/>
              <w:overflowPunct/>
              <w:topLinePunct w:val="0"/>
              <w:autoSpaceDE/>
              <w:autoSpaceDN/>
              <w:bidi w:val="0"/>
              <w:adjustRightInd w:val="0"/>
              <w:snapToGrid/>
              <w:spacing w:line="560" w:lineRule="exact"/>
              <w:jc w:val="center"/>
              <w:rPr>
                <w:rFonts w:hint="eastAsia" w:ascii="仿宋_GB2312" w:cs="Times New Roman"/>
                <w:kern w:val="2"/>
                <w:sz w:val="32"/>
                <w:szCs w:val="32"/>
                <w:vertAlign w:val="baseline"/>
                <w:lang w:val="en-US" w:eastAsia="zh-CN" w:bidi="ar-SA"/>
              </w:rPr>
            </w:pPr>
            <w:r>
              <w:rPr>
                <w:rFonts w:hint="eastAsia" w:ascii="仿宋_GB2312" w:cs="Times New Roman"/>
                <w:kern w:val="2"/>
                <w:sz w:val="32"/>
                <w:szCs w:val="32"/>
                <w:vertAlign w:val="baseline"/>
                <w:lang w:val="en-US" w:eastAsia="zh-CN" w:bidi="ar-SA"/>
              </w:rPr>
              <w:t>县城区</w:t>
            </w:r>
          </w:p>
        </w:tc>
        <w:tc>
          <w:tcPr>
            <w:tcW w:w="1176" w:type="dxa"/>
            <w:vAlign w:val="center"/>
          </w:tcPr>
          <w:p w14:paraId="357376F2">
            <w:pPr>
              <w:pageBreakBefore w:val="0"/>
              <w:kinsoku/>
              <w:wordWrap/>
              <w:overflowPunct/>
              <w:topLinePunct w:val="0"/>
              <w:autoSpaceDE/>
              <w:autoSpaceDN/>
              <w:bidi w:val="0"/>
              <w:adjustRightInd w:val="0"/>
              <w:snapToGrid/>
              <w:spacing w:line="560" w:lineRule="exact"/>
              <w:jc w:val="center"/>
              <w:rPr>
                <w:rFonts w:hint="default" w:ascii="仿宋_GB2312" w:cs="Times New Roman"/>
                <w:kern w:val="2"/>
                <w:sz w:val="32"/>
                <w:szCs w:val="32"/>
                <w:vertAlign w:val="baseline"/>
                <w:lang w:val="en-US" w:eastAsia="zh-CN" w:bidi="ar-SA"/>
              </w:rPr>
            </w:pPr>
            <w:r>
              <w:rPr>
                <w:rFonts w:hint="eastAsia" w:ascii="仿宋_GB2312" w:cs="Times New Roman"/>
                <w:kern w:val="2"/>
                <w:sz w:val="32"/>
                <w:szCs w:val="32"/>
                <w:vertAlign w:val="baseline"/>
                <w:lang w:val="en-US" w:eastAsia="zh-CN" w:bidi="ar-SA"/>
              </w:rPr>
              <w:t>40</w:t>
            </w:r>
          </w:p>
        </w:tc>
        <w:tc>
          <w:tcPr>
            <w:tcW w:w="1176" w:type="dxa"/>
            <w:vAlign w:val="center"/>
          </w:tcPr>
          <w:p w14:paraId="54AF1DDC">
            <w:pPr>
              <w:pageBreakBefore w:val="0"/>
              <w:kinsoku/>
              <w:wordWrap/>
              <w:overflowPunct/>
              <w:topLinePunct w:val="0"/>
              <w:autoSpaceDE/>
              <w:autoSpaceDN/>
              <w:bidi w:val="0"/>
              <w:adjustRightInd w:val="0"/>
              <w:snapToGrid/>
              <w:spacing w:line="560" w:lineRule="exact"/>
              <w:jc w:val="center"/>
              <w:rPr>
                <w:rFonts w:hint="default" w:ascii="仿宋_GB2312" w:cs="Times New Roman"/>
                <w:kern w:val="2"/>
                <w:sz w:val="32"/>
                <w:szCs w:val="32"/>
                <w:vertAlign w:val="baseline"/>
                <w:lang w:val="en-US" w:eastAsia="zh-CN" w:bidi="ar-SA"/>
              </w:rPr>
            </w:pPr>
            <w:r>
              <w:rPr>
                <w:rFonts w:hint="eastAsia" w:ascii="仿宋_GB2312" w:cs="Times New Roman"/>
                <w:kern w:val="2"/>
                <w:sz w:val="32"/>
                <w:szCs w:val="32"/>
                <w:vertAlign w:val="baseline"/>
                <w:lang w:val="en-US" w:eastAsia="zh-CN" w:bidi="ar-SA"/>
              </w:rPr>
              <w:t>25</w:t>
            </w:r>
          </w:p>
        </w:tc>
        <w:tc>
          <w:tcPr>
            <w:tcW w:w="1176" w:type="dxa"/>
            <w:vAlign w:val="center"/>
          </w:tcPr>
          <w:p w14:paraId="328B3CFF">
            <w:pPr>
              <w:pageBreakBefore w:val="0"/>
              <w:kinsoku/>
              <w:wordWrap/>
              <w:overflowPunct/>
              <w:topLinePunct w:val="0"/>
              <w:autoSpaceDE/>
              <w:autoSpaceDN/>
              <w:bidi w:val="0"/>
              <w:adjustRightInd w:val="0"/>
              <w:snapToGrid/>
              <w:spacing w:line="560" w:lineRule="exact"/>
              <w:jc w:val="center"/>
              <w:rPr>
                <w:rFonts w:hint="default" w:ascii="仿宋_GB2312" w:cs="Times New Roman"/>
                <w:kern w:val="2"/>
                <w:sz w:val="32"/>
                <w:szCs w:val="32"/>
                <w:vertAlign w:val="baseline"/>
                <w:lang w:val="en-US" w:eastAsia="zh-CN" w:bidi="ar-SA"/>
              </w:rPr>
            </w:pPr>
            <w:r>
              <w:rPr>
                <w:rFonts w:hint="eastAsia" w:ascii="仿宋_GB2312" w:cs="Times New Roman"/>
                <w:kern w:val="2"/>
                <w:sz w:val="32"/>
                <w:szCs w:val="32"/>
                <w:vertAlign w:val="baseline"/>
                <w:lang w:val="en-US" w:eastAsia="zh-CN" w:bidi="ar-SA"/>
              </w:rPr>
              <w:t>15</w:t>
            </w:r>
          </w:p>
        </w:tc>
        <w:tc>
          <w:tcPr>
            <w:tcW w:w="1176" w:type="dxa"/>
            <w:vAlign w:val="center"/>
          </w:tcPr>
          <w:p w14:paraId="260D45A9">
            <w:pPr>
              <w:pageBreakBefore w:val="0"/>
              <w:kinsoku/>
              <w:wordWrap/>
              <w:overflowPunct/>
              <w:topLinePunct w:val="0"/>
              <w:autoSpaceDE/>
              <w:autoSpaceDN/>
              <w:bidi w:val="0"/>
              <w:adjustRightInd w:val="0"/>
              <w:snapToGrid/>
              <w:spacing w:line="560" w:lineRule="exact"/>
              <w:jc w:val="center"/>
              <w:rPr>
                <w:rFonts w:hint="default" w:ascii="仿宋_GB2312" w:cs="Times New Roman"/>
                <w:kern w:val="2"/>
                <w:sz w:val="32"/>
                <w:szCs w:val="32"/>
                <w:vertAlign w:val="baseline"/>
                <w:lang w:val="en-US" w:eastAsia="zh-CN" w:bidi="ar-SA"/>
              </w:rPr>
            </w:pPr>
            <w:r>
              <w:rPr>
                <w:rFonts w:hint="eastAsia" w:ascii="仿宋_GB2312" w:cs="Times New Roman"/>
                <w:kern w:val="2"/>
                <w:sz w:val="32"/>
                <w:szCs w:val="32"/>
                <w:vertAlign w:val="baseline"/>
                <w:lang w:val="en-US" w:eastAsia="zh-CN" w:bidi="ar-SA"/>
              </w:rPr>
              <w:t>45</w:t>
            </w:r>
          </w:p>
        </w:tc>
        <w:tc>
          <w:tcPr>
            <w:tcW w:w="1176" w:type="dxa"/>
            <w:vAlign w:val="center"/>
          </w:tcPr>
          <w:p w14:paraId="41D4421A">
            <w:pPr>
              <w:pageBreakBefore w:val="0"/>
              <w:kinsoku/>
              <w:wordWrap/>
              <w:overflowPunct/>
              <w:topLinePunct w:val="0"/>
              <w:autoSpaceDE/>
              <w:autoSpaceDN/>
              <w:bidi w:val="0"/>
              <w:adjustRightInd w:val="0"/>
              <w:snapToGrid/>
              <w:spacing w:line="560" w:lineRule="exact"/>
              <w:jc w:val="center"/>
              <w:rPr>
                <w:rFonts w:hint="default" w:ascii="仿宋_GB2312" w:cs="Times New Roman"/>
                <w:kern w:val="2"/>
                <w:sz w:val="32"/>
                <w:szCs w:val="32"/>
                <w:vertAlign w:val="baseline"/>
                <w:lang w:val="en-US" w:eastAsia="zh-CN" w:bidi="ar-SA"/>
              </w:rPr>
            </w:pPr>
            <w:r>
              <w:rPr>
                <w:rFonts w:hint="eastAsia" w:ascii="仿宋_GB2312" w:cs="Times New Roman"/>
                <w:kern w:val="2"/>
                <w:sz w:val="32"/>
                <w:szCs w:val="32"/>
                <w:vertAlign w:val="baseline"/>
                <w:lang w:val="en-US" w:eastAsia="zh-CN" w:bidi="ar-SA"/>
              </w:rPr>
              <w:t>35</w:t>
            </w:r>
          </w:p>
        </w:tc>
        <w:tc>
          <w:tcPr>
            <w:tcW w:w="1176" w:type="dxa"/>
            <w:vAlign w:val="center"/>
          </w:tcPr>
          <w:p w14:paraId="6E3A4C49">
            <w:pPr>
              <w:pageBreakBefore w:val="0"/>
              <w:kinsoku/>
              <w:wordWrap/>
              <w:overflowPunct/>
              <w:topLinePunct w:val="0"/>
              <w:autoSpaceDE/>
              <w:autoSpaceDN/>
              <w:bidi w:val="0"/>
              <w:adjustRightInd w:val="0"/>
              <w:snapToGrid/>
              <w:spacing w:line="560" w:lineRule="exact"/>
              <w:jc w:val="center"/>
              <w:rPr>
                <w:rFonts w:hint="default" w:ascii="仿宋_GB2312" w:cs="Times New Roman"/>
                <w:kern w:val="2"/>
                <w:sz w:val="32"/>
                <w:szCs w:val="32"/>
                <w:vertAlign w:val="baseline"/>
                <w:lang w:val="en-US" w:eastAsia="zh-CN" w:bidi="ar-SA"/>
              </w:rPr>
            </w:pPr>
            <w:r>
              <w:rPr>
                <w:rFonts w:hint="eastAsia" w:ascii="仿宋_GB2312" w:cs="Times New Roman"/>
                <w:kern w:val="2"/>
                <w:sz w:val="32"/>
                <w:szCs w:val="32"/>
                <w:vertAlign w:val="baseline"/>
                <w:lang w:val="en-US" w:eastAsia="zh-CN" w:bidi="ar-SA"/>
              </w:rPr>
              <w:t>25</w:t>
            </w:r>
          </w:p>
        </w:tc>
        <w:tc>
          <w:tcPr>
            <w:tcW w:w="1176" w:type="dxa"/>
            <w:vAlign w:val="center"/>
          </w:tcPr>
          <w:p w14:paraId="1C2404E2">
            <w:pPr>
              <w:pageBreakBefore w:val="0"/>
              <w:kinsoku/>
              <w:wordWrap/>
              <w:overflowPunct/>
              <w:topLinePunct w:val="0"/>
              <w:autoSpaceDE/>
              <w:autoSpaceDN/>
              <w:bidi w:val="0"/>
              <w:adjustRightInd w:val="0"/>
              <w:snapToGrid/>
              <w:spacing w:line="560" w:lineRule="exact"/>
              <w:jc w:val="center"/>
              <w:rPr>
                <w:rFonts w:hint="default" w:ascii="仿宋_GB2312" w:cs="Times New Roman"/>
                <w:kern w:val="2"/>
                <w:sz w:val="32"/>
                <w:szCs w:val="32"/>
                <w:vertAlign w:val="baseline"/>
                <w:lang w:val="en-US" w:eastAsia="zh-CN" w:bidi="ar-SA"/>
              </w:rPr>
            </w:pPr>
            <w:r>
              <w:rPr>
                <w:rFonts w:hint="eastAsia" w:ascii="仿宋_GB2312" w:cs="Times New Roman"/>
                <w:kern w:val="2"/>
                <w:sz w:val="32"/>
                <w:szCs w:val="32"/>
                <w:vertAlign w:val="baseline"/>
                <w:lang w:val="en-US" w:eastAsia="zh-CN" w:bidi="ar-SA"/>
              </w:rPr>
              <w:t>25</w:t>
            </w:r>
          </w:p>
        </w:tc>
        <w:tc>
          <w:tcPr>
            <w:tcW w:w="1176" w:type="dxa"/>
            <w:vAlign w:val="center"/>
          </w:tcPr>
          <w:p w14:paraId="0A58C221">
            <w:pPr>
              <w:pageBreakBefore w:val="0"/>
              <w:kinsoku/>
              <w:wordWrap/>
              <w:overflowPunct/>
              <w:topLinePunct w:val="0"/>
              <w:autoSpaceDE/>
              <w:autoSpaceDN/>
              <w:bidi w:val="0"/>
              <w:adjustRightInd w:val="0"/>
              <w:snapToGrid/>
              <w:spacing w:line="560" w:lineRule="exact"/>
              <w:jc w:val="center"/>
              <w:rPr>
                <w:rFonts w:hint="default" w:ascii="仿宋_GB2312" w:cs="Times New Roman"/>
                <w:kern w:val="2"/>
                <w:sz w:val="32"/>
                <w:szCs w:val="32"/>
                <w:vertAlign w:val="baseline"/>
                <w:lang w:val="en-US" w:eastAsia="zh-CN" w:bidi="ar-SA"/>
              </w:rPr>
            </w:pPr>
            <w:r>
              <w:rPr>
                <w:rFonts w:hint="eastAsia" w:ascii="仿宋_GB2312" w:cs="Times New Roman"/>
                <w:kern w:val="2"/>
                <w:sz w:val="32"/>
                <w:szCs w:val="32"/>
                <w:vertAlign w:val="baseline"/>
                <w:lang w:val="en-US" w:eastAsia="zh-CN" w:bidi="ar-SA"/>
              </w:rPr>
              <w:t>15</w:t>
            </w:r>
          </w:p>
        </w:tc>
        <w:tc>
          <w:tcPr>
            <w:tcW w:w="1181" w:type="dxa"/>
            <w:vAlign w:val="center"/>
          </w:tcPr>
          <w:p w14:paraId="4609A7DA">
            <w:pPr>
              <w:pageBreakBefore w:val="0"/>
              <w:kinsoku/>
              <w:wordWrap/>
              <w:overflowPunct/>
              <w:topLinePunct w:val="0"/>
              <w:autoSpaceDE/>
              <w:autoSpaceDN/>
              <w:bidi w:val="0"/>
              <w:adjustRightInd w:val="0"/>
              <w:snapToGrid/>
              <w:spacing w:line="560" w:lineRule="exact"/>
              <w:jc w:val="center"/>
              <w:rPr>
                <w:rFonts w:hint="default" w:ascii="仿宋_GB2312" w:cs="Times New Roman"/>
                <w:kern w:val="2"/>
                <w:sz w:val="32"/>
                <w:szCs w:val="32"/>
                <w:vertAlign w:val="baseline"/>
                <w:lang w:val="en-US" w:eastAsia="zh-CN" w:bidi="ar-SA"/>
              </w:rPr>
            </w:pPr>
            <w:r>
              <w:rPr>
                <w:rFonts w:hint="eastAsia" w:ascii="仿宋_GB2312" w:cs="Times New Roman"/>
                <w:kern w:val="2"/>
                <w:sz w:val="32"/>
                <w:szCs w:val="32"/>
                <w:vertAlign w:val="baseline"/>
                <w:lang w:val="en-US" w:eastAsia="zh-CN" w:bidi="ar-SA"/>
              </w:rPr>
              <w:t>10</w:t>
            </w:r>
          </w:p>
        </w:tc>
      </w:tr>
      <w:tr w14:paraId="13954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5" w:hRule="atLeast"/>
        </w:trPr>
        <w:tc>
          <w:tcPr>
            <w:tcW w:w="3585" w:type="dxa"/>
            <w:vAlign w:val="center"/>
          </w:tcPr>
          <w:p w14:paraId="01C70354">
            <w:pPr>
              <w:pageBreakBefore w:val="0"/>
              <w:kinsoku/>
              <w:wordWrap/>
              <w:overflowPunct/>
              <w:topLinePunct w:val="0"/>
              <w:autoSpaceDE/>
              <w:autoSpaceDN/>
              <w:bidi w:val="0"/>
              <w:adjustRightInd w:val="0"/>
              <w:snapToGrid/>
              <w:spacing w:line="560" w:lineRule="exact"/>
              <w:jc w:val="center"/>
              <w:rPr>
                <w:rFonts w:hint="eastAsia" w:ascii="仿宋_GB2312" w:cs="Times New Roman"/>
                <w:kern w:val="2"/>
                <w:sz w:val="32"/>
                <w:szCs w:val="32"/>
                <w:vertAlign w:val="baseline"/>
                <w:lang w:val="en-US" w:eastAsia="zh-CN" w:bidi="ar-SA"/>
              </w:rPr>
            </w:pPr>
            <w:r>
              <w:rPr>
                <w:rFonts w:hint="eastAsia" w:ascii="仿宋_GB2312" w:cs="Times New Roman"/>
                <w:kern w:val="2"/>
                <w:sz w:val="32"/>
                <w:szCs w:val="32"/>
                <w:vertAlign w:val="baseline"/>
                <w:lang w:val="en-US" w:eastAsia="zh-CN" w:bidi="ar-SA"/>
              </w:rPr>
              <w:t>建制（乡）镇</w:t>
            </w:r>
          </w:p>
        </w:tc>
        <w:tc>
          <w:tcPr>
            <w:tcW w:w="1176" w:type="dxa"/>
            <w:vAlign w:val="center"/>
          </w:tcPr>
          <w:p w14:paraId="50E46068">
            <w:pPr>
              <w:pageBreakBefore w:val="0"/>
              <w:kinsoku/>
              <w:wordWrap/>
              <w:overflowPunct/>
              <w:topLinePunct w:val="0"/>
              <w:autoSpaceDE/>
              <w:autoSpaceDN/>
              <w:bidi w:val="0"/>
              <w:adjustRightInd w:val="0"/>
              <w:snapToGrid/>
              <w:spacing w:line="560" w:lineRule="exact"/>
              <w:jc w:val="center"/>
              <w:rPr>
                <w:rFonts w:hint="default" w:ascii="仿宋_GB2312" w:cs="Times New Roman"/>
                <w:kern w:val="2"/>
                <w:sz w:val="32"/>
                <w:szCs w:val="32"/>
                <w:vertAlign w:val="baseline"/>
                <w:lang w:val="en-US" w:eastAsia="zh-CN" w:bidi="ar-SA"/>
              </w:rPr>
            </w:pPr>
            <w:r>
              <w:rPr>
                <w:rFonts w:hint="eastAsia" w:ascii="仿宋_GB2312" w:cs="Times New Roman"/>
                <w:kern w:val="2"/>
                <w:sz w:val="32"/>
                <w:szCs w:val="32"/>
                <w:vertAlign w:val="baseline"/>
                <w:lang w:val="en-US" w:eastAsia="zh-CN" w:bidi="ar-SA"/>
              </w:rPr>
              <w:t>30</w:t>
            </w:r>
          </w:p>
        </w:tc>
        <w:tc>
          <w:tcPr>
            <w:tcW w:w="1176" w:type="dxa"/>
            <w:vAlign w:val="center"/>
          </w:tcPr>
          <w:p w14:paraId="5E861B63">
            <w:pPr>
              <w:pageBreakBefore w:val="0"/>
              <w:kinsoku/>
              <w:wordWrap/>
              <w:overflowPunct/>
              <w:topLinePunct w:val="0"/>
              <w:autoSpaceDE/>
              <w:autoSpaceDN/>
              <w:bidi w:val="0"/>
              <w:adjustRightInd w:val="0"/>
              <w:snapToGrid/>
              <w:spacing w:line="560" w:lineRule="exact"/>
              <w:jc w:val="center"/>
              <w:rPr>
                <w:rFonts w:hint="default" w:ascii="仿宋_GB2312" w:cs="Times New Roman"/>
                <w:kern w:val="2"/>
                <w:sz w:val="32"/>
                <w:szCs w:val="32"/>
                <w:vertAlign w:val="baseline"/>
                <w:lang w:val="en-US" w:eastAsia="zh-CN" w:bidi="ar-SA"/>
              </w:rPr>
            </w:pPr>
            <w:r>
              <w:rPr>
                <w:rFonts w:hint="eastAsia" w:ascii="仿宋_GB2312" w:cs="Times New Roman"/>
                <w:kern w:val="2"/>
                <w:sz w:val="32"/>
                <w:szCs w:val="32"/>
                <w:vertAlign w:val="baseline"/>
                <w:lang w:val="en-US" w:eastAsia="zh-CN" w:bidi="ar-SA"/>
              </w:rPr>
              <w:t>20</w:t>
            </w:r>
          </w:p>
        </w:tc>
        <w:tc>
          <w:tcPr>
            <w:tcW w:w="1176" w:type="dxa"/>
            <w:vAlign w:val="center"/>
          </w:tcPr>
          <w:p w14:paraId="2D3AA31E">
            <w:pPr>
              <w:pageBreakBefore w:val="0"/>
              <w:kinsoku/>
              <w:wordWrap/>
              <w:overflowPunct/>
              <w:topLinePunct w:val="0"/>
              <w:autoSpaceDE/>
              <w:autoSpaceDN/>
              <w:bidi w:val="0"/>
              <w:adjustRightInd w:val="0"/>
              <w:snapToGrid/>
              <w:spacing w:line="560" w:lineRule="exact"/>
              <w:jc w:val="center"/>
              <w:rPr>
                <w:rFonts w:hint="default" w:ascii="仿宋_GB2312" w:cs="Times New Roman"/>
                <w:kern w:val="2"/>
                <w:sz w:val="32"/>
                <w:szCs w:val="32"/>
                <w:vertAlign w:val="baseline"/>
                <w:lang w:val="en-US" w:eastAsia="zh-CN" w:bidi="ar-SA"/>
              </w:rPr>
            </w:pPr>
            <w:r>
              <w:rPr>
                <w:rFonts w:hint="eastAsia" w:ascii="仿宋_GB2312" w:cs="Times New Roman"/>
                <w:kern w:val="2"/>
                <w:sz w:val="32"/>
                <w:szCs w:val="32"/>
                <w:vertAlign w:val="baseline"/>
                <w:lang w:val="en-US" w:eastAsia="zh-CN" w:bidi="ar-SA"/>
              </w:rPr>
              <w:t>10</w:t>
            </w:r>
          </w:p>
        </w:tc>
        <w:tc>
          <w:tcPr>
            <w:tcW w:w="1176" w:type="dxa"/>
            <w:vAlign w:val="center"/>
          </w:tcPr>
          <w:p w14:paraId="0220C9C8">
            <w:pPr>
              <w:pageBreakBefore w:val="0"/>
              <w:kinsoku/>
              <w:wordWrap/>
              <w:overflowPunct/>
              <w:topLinePunct w:val="0"/>
              <w:autoSpaceDE/>
              <w:autoSpaceDN/>
              <w:bidi w:val="0"/>
              <w:adjustRightInd w:val="0"/>
              <w:snapToGrid/>
              <w:spacing w:line="560" w:lineRule="exact"/>
              <w:jc w:val="center"/>
              <w:rPr>
                <w:rFonts w:hint="default" w:ascii="仿宋_GB2312" w:cs="Times New Roman"/>
                <w:kern w:val="2"/>
                <w:sz w:val="32"/>
                <w:szCs w:val="32"/>
                <w:vertAlign w:val="baseline"/>
                <w:lang w:val="en-US" w:eastAsia="zh-CN" w:bidi="ar-SA"/>
              </w:rPr>
            </w:pPr>
            <w:r>
              <w:rPr>
                <w:rFonts w:hint="eastAsia" w:ascii="仿宋_GB2312" w:cs="Times New Roman"/>
                <w:kern w:val="2"/>
                <w:sz w:val="32"/>
                <w:szCs w:val="32"/>
                <w:vertAlign w:val="baseline"/>
                <w:lang w:val="en-US" w:eastAsia="zh-CN" w:bidi="ar-SA"/>
              </w:rPr>
              <w:t>35</w:t>
            </w:r>
          </w:p>
        </w:tc>
        <w:tc>
          <w:tcPr>
            <w:tcW w:w="1176" w:type="dxa"/>
            <w:vAlign w:val="center"/>
          </w:tcPr>
          <w:p w14:paraId="0D359ED9">
            <w:pPr>
              <w:pageBreakBefore w:val="0"/>
              <w:kinsoku/>
              <w:wordWrap/>
              <w:overflowPunct/>
              <w:topLinePunct w:val="0"/>
              <w:autoSpaceDE/>
              <w:autoSpaceDN/>
              <w:bidi w:val="0"/>
              <w:adjustRightInd w:val="0"/>
              <w:snapToGrid/>
              <w:spacing w:line="560" w:lineRule="exact"/>
              <w:jc w:val="center"/>
              <w:rPr>
                <w:rFonts w:hint="default" w:ascii="仿宋_GB2312" w:cs="Times New Roman"/>
                <w:kern w:val="2"/>
                <w:sz w:val="32"/>
                <w:szCs w:val="32"/>
                <w:vertAlign w:val="baseline"/>
                <w:lang w:val="en-US" w:eastAsia="zh-CN" w:bidi="ar-SA"/>
              </w:rPr>
            </w:pPr>
            <w:r>
              <w:rPr>
                <w:rFonts w:hint="eastAsia" w:ascii="仿宋_GB2312" w:cs="Times New Roman"/>
                <w:kern w:val="2"/>
                <w:sz w:val="32"/>
                <w:szCs w:val="32"/>
                <w:vertAlign w:val="baseline"/>
                <w:lang w:val="en-US" w:eastAsia="zh-CN" w:bidi="ar-SA"/>
              </w:rPr>
              <w:t>25</w:t>
            </w:r>
          </w:p>
        </w:tc>
        <w:tc>
          <w:tcPr>
            <w:tcW w:w="1176" w:type="dxa"/>
            <w:vAlign w:val="center"/>
          </w:tcPr>
          <w:p w14:paraId="339DA642">
            <w:pPr>
              <w:pageBreakBefore w:val="0"/>
              <w:kinsoku/>
              <w:wordWrap/>
              <w:overflowPunct/>
              <w:topLinePunct w:val="0"/>
              <w:autoSpaceDE/>
              <w:autoSpaceDN/>
              <w:bidi w:val="0"/>
              <w:adjustRightInd w:val="0"/>
              <w:snapToGrid/>
              <w:spacing w:line="560" w:lineRule="exact"/>
              <w:jc w:val="center"/>
              <w:rPr>
                <w:rFonts w:hint="default" w:ascii="仿宋_GB2312" w:cs="Times New Roman"/>
                <w:kern w:val="2"/>
                <w:sz w:val="32"/>
                <w:szCs w:val="32"/>
                <w:vertAlign w:val="baseline"/>
                <w:lang w:val="en-US" w:eastAsia="zh-CN" w:bidi="ar-SA"/>
              </w:rPr>
            </w:pPr>
            <w:r>
              <w:rPr>
                <w:rFonts w:hint="eastAsia" w:ascii="仿宋_GB2312" w:cs="Times New Roman"/>
                <w:kern w:val="2"/>
                <w:sz w:val="32"/>
                <w:szCs w:val="32"/>
                <w:vertAlign w:val="baseline"/>
                <w:lang w:val="en-US" w:eastAsia="zh-CN" w:bidi="ar-SA"/>
              </w:rPr>
              <w:t>15</w:t>
            </w:r>
          </w:p>
        </w:tc>
        <w:tc>
          <w:tcPr>
            <w:tcW w:w="1176" w:type="dxa"/>
            <w:vAlign w:val="center"/>
          </w:tcPr>
          <w:p w14:paraId="3EFDFB86">
            <w:pPr>
              <w:pageBreakBefore w:val="0"/>
              <w:kinsoku/>
              <w:wordWrap/>
              <w:overflowPunct/>
              <w:topLinePunct w:val="0"/>
              <w:autoSpaceDE/>
              <w:autoSpaceDN/>
              <w:bidi w:val="0"/>
              <w:adjustRightInd w:val="0"/>
              <w:snapToGrid/>
              <w:spacing w:line="560" w:lineRule="exact"/>
              <w:jc w:val="center"/>
              <w:rPr>
                <w:rFonts w:hint="default" w:ascii="仿宋_GB2312" w:cs="Times New Roman"/>
                <w:kern w:val="2"/>
                <w:sz w:val="32"/>
                <w:szCs w:val="32"/>
                <w:vertAlign w:val="baseline"/>
                <w:lang w:val="en-US" w:eastAsia="zh-CN" w:bidi="ar-SA"/>
              </w:rPr>
            </w:pPr>
            <w:r>
              <w:rPr>
                <w:rFonts w:hint="eastAsia" w:ascii="仿宋_GB2312" w:cs="Times New Roman"/>
                <w:kern w:val="2"/>
                <w:sz w:val="32"/>
                <w:szCs w:val="32"/>
                <w:vertAlign w:val="baseline"/>
                <w:lang w:val="en-US" w:eastAsia="zh-CN" w:bidi="ar-SA"/>
              </w:rPr>
              <w:t>20</w:t>
            </w:r>
          </w:p>
        </w:tc>
        <w:tc>
          <w:tcPr>
            <w:tcW w:w="1176" w:type="dxa"/>
            <w:vAlign w:val="center"/>
          </w:tcPr>
          <w:p w14:paraId="06086F22">
            <w:pPr>
              <w:pageBreakBefore w:val="0"/>
              <w:kinsoku/>
              <w:wordWrap/>
              <w:overflowPunct/>
              <w:topLinePunct w:val="0"/>
              <w:autoSpaceDE/>
              <w:autoSpaceDN/>
              <w:bidi w:val="0"/>
              <w:adjustRightInd w:val="0"/>
              <w:snapToGrid/>
              <w:spacing w:line="560" w:lineRule="exact"/>
              <w:jc w:val="center"/>
              <w:rPr>
                <w:rFonts w:hint="default" w:ascii="仿宋_GB2312" w:cs="Times New Roman"/>
                <w:kern w:val="2"/>
                <w:sz w:val="32"/>
                <w:szCs w:val="32"/>
                <w:vertAlign w:val="baseline"/>
                <w:lang w:val="en-US" w:eastAsia="zh-CN" w:bidi="ar-SA"/>
              </w:rPr>
            </w:pPr>
            <w:r>
              <w:rPr>
                <w:rFonts w:hint="eastAsia" w:ascii="仿宋_GB2312" w:cs="Times New Roman"/>
                <w:kern w:val="2"/>
                <w:sz w:val="32"/>
                <w:szCs w:val="32"/>
                <w:vertAlign w:val="baseline"/>
                <w:lang w:val="en-US" w:eastAsia="zh-CN" w:bidi="ar-SA"/>
              </w:rPr>
              <w:t>10</w:t>
            </w:r>
          </w:p>
        </w:tc>
        <w:tc>
          <w:tcPr>
            <w:tcW w:w="1181" w:type="dxa"/>
            <w:vAlign w:val="center"/>
          </w:tcPr>
          <w:p w14:paraId="38C8BD0A">
            <w:pPr>
              <w:pageBreakBefore w:val="0"/>
              <w:kinsoku/>
              <w:wordWrap/>
              <w:overflowPunct/>
              <w:topLinePunct w:val="0"/>
              <w:autoSpaceDE/>
              <w:autoSpaceDN/>
              <w:bidi w:val="0"/>
              <w:adjustRightInd w:val="0"/>
              <w:snapToGrid/>
              <w:spacing w:line="560" w:lineRule="exact"/>
              <w:jc w:val="center"/>
              <w:rPr>
                <w:rFonts w:hint="default" w:ascii="仿宋_GB2312" w:cs="Times New Roman"/>
                <w:kern w:val="2"/>
                <w:sz w:val="32"/>
                <w:szCs w:val="32"/>
                <w:vertAlign w:val="baseline"/>
                <w:lang w:val="en-US" w:eastAsia="zh-CN" w:bidi="ar-SA"/>
              </w:rPr>
            </w:pPr>
            <w:r>
              <w:rPr>
                <w:rFonts w:hint="eastAsia" w:ascii="仿宋_GB2312" w:cs="Times New Roman"/>
                <w:kern w:val="2"/>
                <w:sz w:val="32"/>
                <w:szCs w:val="32"/>
                <w:vertAlign w:val="baseline"/>
                <w:lang w:val="en-US" w:eastAsia="zh-CN" w:bidi="ar-SA"/>
              </w:rPr>
              <w:t>5</w:t>
            </w:r>
          </w:p>
        </w:tc>
      </w:tr>
    </w:tbl>
    <w:p w14:paraId="4B96C073">
      <w:pPr>
        <w:pageBreakBefore w:val="0"/>
        <w:kinsoku/>
        <w:wordWrap/>
        <w:overflowPunct/>
        <w:topLinePunct w:val="0"/>
        <w:autoSpaceDE/>
        <w:autoSpaceDN/>
        <w:bidi w:val="0"/>
        <w:adjustRightInd w:val="0"/>
        <w:snapToGrid/>
        <w:spacing w:line="560" w:lineRule="exact"/>
        <w:ind w:firstLine="629"/>
        <w:rPr>
          <w:rFonts w:hint="eastAsia" w:ascii="仿宋_GB2312" w:cs="Times New Roman"/>
          <w:kern w:val="2"/>
          <w:sz w:val="32"/>
          <w:szCs w:val="32"/>
          <w:lang w:val="en-US" w:eastAsia="zh-CN" w:bidi="ar-SA"/>
        </w:rPr>
      </w:pPr>
    </w:p>
    <w:p w14:paraId="49144415">
      <w:pPr>
        <w:pageBreakBefore w:val="0"/>
        <w:kinsoku/>
        <w:wordWrap/>
        <w:overflowPunct/>
        <w:topLinePunct w:val="0"/>
        <w:autoSpaceDE/>
        <w:autoSpaceDN/>
        <w:bidi w:val="0"/>
        <w:adjustRightInd w:val="0"/>
        <w:snapToGrid/>
        <w:spacing w:line="560" w:lineRule="exact"/>
        <w:rPr>
          <w:rFonts w:hint="eastAsia" w:ascii="仿宋_GB2312" w:hAnsi="Times New Roman" w:eastAsia="仿宋_GB2312" w:cs="Times New Roman"/>
          <w:kern w:val="2"/>
          <w:sz w:val="32"/>
          <w:szCs w:val="32"/>
          <w:lang w:val="en-US" w:eastAsia="zh-CN" w:bidi="ar-SA"/>
        </w:rPr>
      </w:pPr>
    </w:p>
    <w:p w14:paraId="2523F458">
      <w:pPr>
        <w:pageBreakBefore w:val="0"/>
        <w:kinsoku/>
        <w:wordWrap/>
        <w:overflowPunct/>
        <w:topLinePunct w:val="0"/>
        <w:autoSpaceDE/>
        <w:autoSpaceDN/>
        <w:bidi w:val="0"/>
        <w:adjustRightInd w:val="0"/>
        <w:snapToGrid/>
        <w:spacing w:line="560" w:lineRule="exact"/>
        <w:rPr>
          <w:rFonts w:hint="eastAsia" w:ascii="仿宋_GB2312" w:hAnsi="Times New Roman" w:eastAsia="仿宋_GB2312" w:cs="Times New Roman"/>
          <w:kern w:val="2"/>
          <w:sz w:val="32"/>
          <w:szCs w:val="32"/>
          <w:lang w:val="en-US" w:eastAsia="zh-CN" w:bidi="ar-SA"/>
        </w:rPr>
        <w:sectPr>
          <w:pgSz w:w="16838" w:h="11906" w:orient="landscape"/>
          <w:pgMar w:top="1803" w:right="1440" w:bottom="1803" w:left="1440" w:header="851" w:footer="992" w:gutter="0"/>
          <w:pgNumType w:fmt="decimal"/>
          <w:cols w:space="0" w:num="1"/>
          <w:rtlGutter w:val="0"/>
          <w:docGrid w:type="lines" w:linePitch="436" w:charSpace="0"/>
        </w:sectPr>
      </w:pPr>
    </w:p>
    <w:p w14:paraId="624C8EB1">
      <w:pPr>
        <w:pageBreakBefore w:val="0"/>
        <w:kinsoku/>
        <w:wordWrap/>
        <w:overflowPunct/>
        <w:topLinePunct w:val="0"/>
        <w:autoSpaceDE/>
        <w:autoSpaceDN/>
        <w:bidi w:val="0"/>
        <w:adjustRightInd w:val="0"/>
        <w:snapToGrid/>
        <w:spacing w:line="560" w:lineRule="exact"/>
        <w:rPr>
          <w:rFonts w:hint="eastAsia" w:ascii="仿宋_GB2312" w:cs="Times New Roman"/>
          <w:kern w:val="2"/>
          <w:sz w:val="32"/>
          <w:szCs w:val="32"/>
          <w:lang w:val="en-US" w:eastAsia="zh-CN" w:bidi="ar-SA"/>
        </w:rPr>
      </w:pPr>
      <w:r>
        <w:rPr>
          <w:rFonts w:hint="eastAsia" w:ascii="仿宋_GB2312" w:cs="Times New Roman"/>
          <w:kern w:val="2"/>
          <w:sz w:val="32"/>
          <w:szCs w:val="32"/>
          <w:lang w:val="en-US" w:eastAsia="zh-CN" w:bidi="ar-SA"/>
        </w:rPr>
        <w:t>附表二：</w:t>
      </w:r>
    </w:p>
    <w:p w14:paraId="2F2EFE4B">
      <w:pPr>
        <w:keepNext w:val="0"/>
        <w:keepLines w:val="0"/>
        <w:pageBreakBefore w:val="0"/>
        <w:widowControl w:val="0"/>
        <w:kinsoku/>
        <w:wordWrap/>
        <w:overflowPunct/>
        <w:topLinePunct w:val="0"/>
        <w:autoSpaceDE/>
        <w:autoSpaceDN/>
        <w:bidi w:val="0"/>
        <w:adjustRightInd w:val="0"/>
        <w:snapToGrid/>
        <w:spacing w:line="600" w:lineRule="exact"/>
        <w:textAlignment w:val="auto"/>
      </w:pPr>
    </w:p>
    <w:p w14:paraId="0C8DB4D7">
      <w:pPr>
        <w:pStyle w:val="10"/>
        <w:rPr>
          <w:rFonts w:hint="eastAsia" w:eastAsia="宋体"/>
          <w:lang w:eastAsia="zh-CN"/>
        </w:rPr>
      </w:pPr>
      <w:bookmarkStart w:id="0" w:name="_GoBack"/>
      <w:r>
        <w:rPr>
          <w:rFonts w:hint="eastAsia" w:eastAsia="宋体"/>
          <w:lang w:eastAsia="zh-CN"/>
        </w:rPr>
        <w:drawing>
          <wp:inline distT="0" distB="0" distL="114300" distR="114300">
            <wp:extent cx="5660390" cy="6192520"/>
            <wp:effectExtent l="0" t="0" r="16510" b="17780"/>
            <wp:docPr id="14" name="图片 14" descr="清流县城市基础设施配套费征收城区主要地段土地分类图(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清流县城市基础设施配套费征收城区主要地段土地分类图(1)_01"/>
                    <pic:cNvPicPr>
                      <a:picLocks noChangeAspect="1"/>
                    </pic:cNvPicPr>
                  </pic:nvPicPr>
                  <pic:blipFill>
                    <a:blip r:embed="rId6"/>
                    <a:stretch>
                      <a:fillRect/>
                    </a:stretch>
                  </pic:blipFill>
                  <pic:spPr>
                    <a:xfrm>
                      <a:off x="0" y="0"/>
                      <a:ext cx="5660390" cy="6192520"/>
                    </a:xfrm>
                    <a:prstGeom prst="rect">
                      <a:avLst/>
                    </a:prstGeom>
                  </pic:spPr>
                </pic:pic>
              </a:graphicData>
            </a:graphic>
          </wp:inline>
        </w:drawing>
      </w:r>
      <w:bookmarkEnd w:id="0"/>
    </w:p>
    <w:p w14:paraId="3611401E">
      <w:pPr>
        <w:rPr>
          <w:rFonts w:hint="eastAsia" w:eastAsia="仿宋_GB2312"/>
          <w:lang w:eastAsia="zh-CN"/>
        </w:rPr>
      </w:pPr>
      <w:r>
        <w:rPr>
          <w:rFonts w:hint="eastAsia" w:eastAsia="仿宋_GB2312"/>
          <w:lang w:eastAsia="zh-CN"/>
        </w:rPr>
        <w:drawing>
          <wp:inline distT="0" distB="0" distL="114300" distR="114300">
            <wp:extent cx="5755005" cy="8133080"/>
            <wp:effectExtent l="0" t="0" r="17145" b="1270"/>
            <wp:docPr id="13" name="图片 13" descr="图5 长校镇综合土地级别基准地价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图5 长校镇综合土地级别基准地价图"/>
                    <pic:cNvPicPr>
                      <a:picLocks noChangeAspect="1"/>
                    </pic:cNvPicPr>
                  </pic:nvPicPr>
                  <pic:blipFill>
                    <a:blip r:embed="rId7"/>
                    <a:stretch>
                      <a:fillRect/>
                    </a:stretch>
                  </pic:blipFill>
                  <pic:spPr>
                    <a:xfrm>
                      <a:off x="0" y="0"/>
                      <a:ext cx="5755005" cy="8133080"/>
                    </a:xfrm>
                    <a:prstGeom prst="rect">
                      <a:avLst/>
                    </a:prstGeom>
                  </pic:spPr>
                </pic:pic>
              </a:graphicData>
            </a:graphic>
          </wp:inline>
        </w:drawing>
      </w:r>
      <w:r>
        <w:rPr>
          <w:rFonts w:hint="eastAsia" w:eastAsia="仿宋_GB2312"/>
          <w:lang w:eastAsia="zh-CN"/>
        </w:rPr>
        <w:drawing>
          <wp:inline distT="0" distB="0" distL="114300" distR="114300">
            <wp:extent cx="5755005" cy="8133080"/>
            <wp:effectExtent l="0" t="0" r="17145" b="1270"/>
            <wp:docPr id="12" name="图片 12" descr="图6 余朋乡综合土地级别基准地价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图6 余朋乡综合土地级别基准地价图"/>
                    <pic:cNvPicPr>
                      <a:picLocks noChangeAspect="1"/>
                    </pic:cNvPicPr>
                  </pic:nvPicPr>
                  <pic:blipFill>
                    <a:blip r:embed="rId8"/>
                    <a:stretch>
                      <a:fillRect/>
                    </a:stretch>
                  </pic:blipFill>
                  <pic:spPr>
                    <a:xfrm>
                      <a:off x="0" y="0"/>
                      <a:ext cx="5755005" cy="8133080"/>
                    </a:xfrm>
                    <a:prstGeom prst="rect">
                      <a:avLst/>
                    </a:prstGeom>
                  </pic:spPr>
                </pic:pic>
              </a:graphicData>
            </a:graphic>
          </wp:inline>
        </w:drawing>
      </w:r>
      <w:r>
        <w:rPr>
          <w:rFonts w:hint="eastAsia" w:eastAsia="仿宋_GB2312"/>
          <w:lang w:eastAsia="zh-CN"/>
        </w:rPr>
        <w:drawing>
          <wp:inline distT="0" distB="0" distL="114300" distR="114300">
            <wp:extent cx="5744210" cy="4064635"/>
            <wp:effectExtent l="0" t="0" r="8890" b="12065"/>
            <wp:docPr id="11" name="图片 11" descr="图7 温郊乡综合土地级别基准地价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图7 温郊乡综合土地级别基准地价图"/>
                    <pic:cNvPicPr>
                      <a:picLocks noChangeAspect="1"/>
                    </pic:cNvPicPr>
                  </pic:nvPicPr>
                  <pic:blipFill>
                    <a:blip r:embed="rId9"/>
                    <a:stretch>
                      <a:fillRect/>
                    </a:stretch>
                  </pic:blipFill>
                  <pic:spPr>
                    <a:xfrm>
                      <a:off x="0" y="0"/>
                      <a:ext cx="5744210" cy="4064635"/>
                    </a:xfrm>
                    <a:prstGeom prst="rect">
                      <a:avLst/>
                    </a:prstGeom>
                  </pic:spPr>
                </pic:pic>
              </a:graphicData>
            </a:graphic>
          </wp:inline>
        </w:drawing>
      </w:r>
      <w:r>
        <w:rPr>
          <w:rFonts w:hint="eastAsia" w:eastAsia="仿宋_GB2312"/>
          <w:lang w:eastAsia="zh-CN"/>
        </w:rPr>
        <w:drawing>
          <wp:inline distT="0" distB="0" distL="114300" distR="114300">
            <wp:extent cx="5755005" cy="8133080"/>
            <wp:effectExtent l="0" t="0" r="17145" b="1270"/>
            <wp:docPr id="10" name="图片 10" descr="图8 田源乡综合土地级别基准地价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图8 田源乡综合土地级别基准地价图"/>
                    <pic:cNvPicPr>
                      <a:picLocks noChangeAspect="1"/>
                    </pic:cNvPicPr>
                  </pic:nvPicPr>
                  <pic:blipFill>
                    <a:blip r:embed="rId10"/>
                    <a:stretch>
                      <a:fillRect/>
                    </a:stretch>
                  </pic:blipFill>
                  <pic:spPr>
                    <a:xfrm>
                      <a:off x="0" y="0"/>
                      <a:ext cx="5755005" cy="8133080"/>
                    </a:xfrm>
                    <a:prstGeom prst="rect">
                      <a:avLst/>
                    </a:prstGeom>
                  </pic:spPr>
                </pic:pic>
              </a:graphicData>
            </a:graphic>
          </wp:inline>
        </w:drawing>
      </w:r>
      <w:r>
        <w:rPr>
          <w:rFonts w:hint="eastAsia" w:eastAsia="仿宋_GB2312"/>
          <w:lang w:eastAsia="zh-CN"/>
        </w:rPr>
        <w:drawing>
          <wp:inline distT="0" distB="0" distL="114300" distR="114300">
            <wp:extent cx="5755005" cy="8133080"/>
            <wp:effectExtent l="0" t="0" r="17145" b="1270"/>
            <wp:docPr id="9" name="图片 9" descr="图9 嵩溪镇综合土地级别基准地价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9 嵩溪镇综合土地级别基准地价图"/>
                    <pic:cNvPicPr>
                      <a:picLocks noChangeAspect="1"/>
                    </pic:cNvPicPr>
                  </pic:nvPicPr>
                  <pic:blipFill>
                    <a:blip r:embed="rId11"/>
                    <a:stretch>
                      <a:fillRect/>
                    </a:stretch>
                  </pic:blipFill>
                  <pic:spPr>
                    <a:xfrm>
                      <a:off x="0" y="0"/>
                      <a:ext cx="5755005" cy="8133080"/>
                    </a:xfrm>
                    <a:prstGeom prst="rect">
                      <a:avLst/>
                    </a:prstGeom>
                  </pic:spPr>
                </pic:pic>
              </a:graphicData>
            </a:graphic>
          </wp:inline>
        </w:drawing>
      </w:r>
      <w:r>
        <w:rPr>
          <w:rFonts w:hint="eastAsia" w:eastAsia="仿宋_GB2312"/>
          <w:lang w:eastAsia="zh-CN"/>
        </w:rPr>
        <w:drawing>
          <wp:inline distT="0" distB="0" distL="114300" distR="114300">
            <wp:extent cx="5755005" cy="8133080"/>
            <wp:effectExtent l="0" t="0" r="17145" b="1270"/>
            <wp:docPr id="8" name="图片 8" descr="图10 嵩口镇综合土地级别基准地价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10 嵩口镇综合土地级别基准地价图"/>
                    <pic:cNvPicPr>
                      <a:picLocks noChangeAspect="1"/>
                    </pic:cNvPicPr>
                  </pic:nvPicPr>
                  <pic:blipFill>
                    <a:blip r:embed="rId12"/>
                    <a:stretch>
                      <a:fillRect/>
                    </a:stretch>
                  </pic:blipFill>
                  <pic:spPr>
                    <a:xfrm>
                      <a:off x="0" y="0"/>
                      <a:ext cx="5755005" cy="8133080"/>
                    </a:xfrm>
                    <a:prstGeom prst="rect">
                      <a:avLst/>
                    </a:prstGeom>
                  </pic:spPr>
                </pic:pic>
              </a:graphicData>
            </a:graphic>
          </wp:inline>
        </w:drawing>
      </w:r>
      <w:r>
        <w:rPr>
          <w:rFonts w:hint="eastAsia" w:eastAsia="仿宋_GB2312"/>
          <w:lang w:eastAsia="zh-CN"/>
        </w:rPr>
        <w:drawing>
          <wp:inline distT="0" distB="0" distL="114300" distR="114300">
            <wp:extent cx="5744210" cy="4064635"/>
            <wp:effectExtent l="0" t="0" r="8890" b="12065"/>
            <wp:docPr id="7" name="图片 7" descr="图11 沙芜乡综合土地级别基准地价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11 沙芜乡综合土地级别基准地价图"/>
                    <pic:cNvPicPr>
                      <a:picLocks noChangeAspect="1"/>
                    </pic:cNvPicPr>
                  </pic:nvPicPr>
                  <pic:blipFill>
                    <a:blip r:embed="rId13"/>
                    <a:stretch>
                      <a:fillRect/>
                    </a:stretch>
                  </pic:blipFill>
                  <pic:spPr>
                    <a:xfrm>
                      <a:off x="0" y="0"/>
                      <a:ext cx="5744210" cy="4064635"/>
                    </a:xfrm>
                    <a:prstGeom prst="rect">
                      <a:avLst/>
                    </a:prstGeom>
                  </pic:spPr>
                </pic:pic>
              </a:graphicData>
            </a:graphic>
          </wp:inline>
        </w:drawing>
      </w:r>
      <w:r>
        <w:rPr>
          <w:rFonts w:hint="eastAsia" w:eastAsia="仿宋_GB2312"/>
          <w:lang w:eastAsia="zh-CN"/>
        </w:rPr>
        <w:drawing>
          <wp:inline distT="0" distB="0" distL="114300" distR="114300">
            <wp:extent cx="5755005" cy="8133080"/>
            <wp:effectExtent l="0" t="0" r="17145" b="1270"/>
            <wp:docPr id="6" name="图片 6" descr="图12 灵地镇综合土地级别基准地价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12 灵地镇综合土地级别基准地价图"/>
                    <pic:cNvPicPr>
                      <a:picLocks noChangeAspect="1"/>
                    </pic:cNvPicPr>
                  </pic:nvPicPr>
                  <pic:blipFill>
                    <a:blip r:embed="rId14"/>
                    <a:stretch>
                      <a:fillRect/>
                    </a:stretch>
                  </pic:blipFill>
                  <pic:spPr>
                    <a:xfrm>
                      <a:off x="0" y="0"/>
                      <a:ext cx="5755005" cy="8133080"/>
                    </a:xfrm>
                    <a:prstGeom prst="rect">
                      <a:avLst/>
                    </a:prstGeom>
                  </pic:spPr>
                </pic:pic>
              </a:graphicData>
            </a:graphic>
          </wp:inline>
        </w:drawing>
      </w:r>
      <w:r>
        <w:rPr>
          <w:rFonts w:hint="eastAsia" w:eastAsia="仿宋_GB2312"/>
          <w:lang w:eastAsia="zh-CN"/>
        </w:rPr>
        <w:drawing>
          <wp:inline distT="0" distB="0" distL="114300" distR="114300">
            <wp:extent cx="5744210" cy="4064635"/>
            <wp:effectExtent l="0" t="0" r="8890" b="12065"/>
            <wp:docPr id="5" name="图片 5" descr="图13 林畲镇综合土地级别基准地价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13 林畲镇综合土地级别基准地价图"/>
                    <pic:cNvPicPr>
                      <a:picLocks noChangeAspect="1"/>
                    </pic:cNvPicPr>
                  </pic:nvPicPr>
                  <pic:blipFill>
                    <a:blip r:embed="rId15"/>
                    <a:stretch>
                      <a:fillRect/>
                    </a:stretch>
                  </pic:blipFill>
                  <pic:spPr>
                    <a:xfrm>
                      <a:off x="0" y="0"/>
                      <a:ext cx="5744210" cy="4064635"/>
                    </a:xfrm>
                    <a:prstGeom prst="rect">
                      <a:avLst/>
                    </a:prstGeom>
                  </pic:spPr>
                </pic:pic>
              </a:graphicData>
            </a:graphic>
          </wp:inline>
        </w:drawing>
      </w:r>
      <w:r>
        <w:rPr>
          <w:rFonts w:hint="eastAsia" w:eastAsia="仿宋_GB2312"/>
          <w:lang w:eastAsia="zh-CN"/>
        </w:rPr>
        <w:drawing>
          <wp:inline distT="0" distB="0" distL="114300" distR="114300">
            <wp:extent cx="5744210" cy="4064635"/>
            <wp:effectExtent l="0" t="0" r="8890" b="12065"/>
            <wp:docPr id="4" name="图片 4" descr="图14 里田乡综合土地级别基准地价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14 里田乡综合土地级别基准地价图"/>
                    <pic:cNvPicPr>
                      <a:picLocks noChangeAspect="1"/>
                    </pic:cNvPicPr>
                  </pic:nvPicPr>
                  <pic:blipFill>
                    <a:blip r:embed="rId16"/>
                    <a:stretch>
                      <a:fillRect/>
                    </a:stretch>
                  </pic:blipFill>
                  <pic:spPr>
                    <a:xfrm>
                      <a:off x="0" y="0"/>
                      <a:ext cx="5744210" cy="4064635"/>
                    </a:xfrm>
                    <a:prstGeom prst="rect">
                      <a:avLst/>
                    </a:prstGeom>
                  </pic:spPr>
                </pic:pic>
              </a:graphicData>
            </a:graphic>
          </wp:inline>
        </w:drawing>
      </w:r>
      <w:r>
        <w:rPr>
          <w:rFonts w:hint="eastAsia" w:eastAsia="仿宋_GB2312"/>
          <w:lang w:eastAsia="zh-CN"/>
        </w:rPr>
        <w:drawing>
          <wp:inline distT="0" distB="0" distL="114300" distR="114300">
            <wp:extent cx="5755005" cy="8133080"/>
            <wp:effectExtent l="0" t="0" r="17145" b="1270"/>
            <wp:docPr id="3" name="图片 3" descr="图15 李家乡综合土地级别基准地价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15 李家乡综合土地级别基准地价图"/>
                    <pic:cNvPicPr>
                      <a:picLocks noChangeAspect="1"/>
                    </pic:cNvPicPr>
                  </pic:nvPicPr>
                  <pic:blipFill>
                    <a:blip r:embed="rId17"/>
                    <a:stretch>
                      <a:fillRect/>
                    </a:stretch>
                  </pic:blipFill>
                  <pic:spPr>
                    <a:xfrm>
                      <a:off x="0" y="0"/>
                      <a:ext cx="5755005" cy="8133080"/>
                    </a:xfrm>
                    <a:prstGeom prst="rect">
                      <a:avLst/>
                    </a:prstGeom>
                  </pic:spPr>
                </pic:pic>
              </a:graphicData>
            </a:graphic>
          </wp:inline>
        </w:drawing>
      </w:r>
      <w:r>
        <w:rPr>
          <w:rFonts w:hint="eastAsia" w:eastAsia="仿宋_GB2312"/>
          <w:lang w:eastAsia="zh-CN"/>
        </w:rPr>
        <w:drawing>
          <wp:inline distT="0" distB="0" distL="114300" distR="114300">
            <wp:extent cx="5755005" cy="8133080"/>
            <wp:effectExtent l="0" t="0" r="17145" b="1270"/>
            <wp:docPr id="1" name="图片 1" descr="图16 赖坊镇综合土地级别基准地价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16 赖坊镇综合土地级别基准地价图"/>
                    <pic:cNvPicPr>
                      <a:picLocks noChangeAspect="1"/>
                    </pic:cNvPicPr>
                  </pic:nvPicPr>
                  <pic:blipFill>
                    <a:blip r:embed="rId18"/>
                    <a:stretch>
                      <a:fillRect/>
                    </a:stretch>
                  </pic:blipFill>
                  <pic:spPr>
                    <a:xfrm>
                      <a:off x="0" y="0"/>
                      <a:ext cx="5755005" cy="8133080"/>
                    </a:xfrm>
                    <a:prstGeom prst="rect">
                      <a:avLst/>
                    </a:prstGeom>
                  </pic:spPr>
                </pic:pic>
              </a:graphicData>
            </a:graphic>
          </wp:inline>
        </w:drawing>
      </w:r>
    </w:p>
    <w:p w14:paraId="376443F8">
      <w:pPr>
        <w:pStyle w:val="10"/>
      </w:pPr>
    </w:p>
    <w:p w14:paraId="2F43114F"/>
    <w:p w14:paraId="55522FEA">
      <w:pPr>
        <w:pStyle w:val="10"/>
      </w:pPr>
    </w:p>
    <w:p w14:paraId="5AB99C40"/>
    <w:p w14:paraId="269F04A9"/>
    <w:p w14:paraId="25AE2003"/>
    <w:p w14:paraId="13D91AE5">
      <w:pPr>
        <w:pStyle w:val="10"/>
      </w:pPr>
    </w:p>
    <w:p w14:paraId="79CD49BE">
      <w:pPr>
        <w:tabs>
          <w:tab w:val="left" w:pos="7584"/>
        </w:tabs>
        <w:spacing w:line="520" w:lineRule="exact"/>
        <w:ind w:right="1748" w:rightChars="564"/>
        <w:rPr>
          <w:rFonts w:hint="eastAsia" w:ascii="黑体" w:hAnsi="黑体" w:eastAsia="黑体" w:cs="黑体"/>
          <w:kern w:val="0"/>
          <w:sz w:val="32"/>
          <w:szCs w:val="32"/>
        </w:rPr>
      </w:pPr>
      <w:r>
        <w:rPr>
          <w:rFonts w:hint="eastAsia" w:ascii="黑体" w:hAnsi="黑体" w:eastAsia="黑体" w:cs="黑体"/>
          <w:kern w:val="0"/>
          <w:sz w:val="32"/>
          <w:szCs w:val="32"/>
        </w:rPr>
        <w:t>附件3</w:t>
      </w:r>
    </w:p>
    <w:p w14:paraId="43DCFEB9">
      <w:pPr>
        <w:tabs>
          <w:tab w:val="left" w:pos="7584"/>
        </w:tabs>
        <w:spacing w:line="520" w:lineRule="exact"/>
        <w:ind w:right="1748" w:rightChars="564"/>
        <w:rPr>
          <w:rFonts w:hint="eastAsia" w:ascii="黑体" w:hAnsi="黑体" w:eastAsia="黑体" w:cs="黑体"/>
          <w:kern w:val="0"/>
          <w:sz w:val="32"/>
          <w:szCs w:val="32"/>
        </w:rPr>
      </w:pPr>
    </w:p>
    <w:p w14:paraId="002358E0">
      <w:pPr>
        <w:tabs>
          <w:tab w:val="left" w:pos="7584"/>
        </w:tabs>
        <w:spacing w:line="520" w:lineRule="exact"/>
        <w:jc w:val="center"/>
        <w:rPr>
          <w:rFonts w:hint="eastAsia"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lang w:eastAsia="zh-CN"/>
        </w:rPr>
        <w:t>清流</w:t>
      </w:r>
      <w:r>
        <w:rPr>
          <w:rFonts w:hint="eastAsia" w:ascii="方正小标宋简体" w:hAnsi="方正小标宋简体" w:eastAsia="方正小标宋简体" w:cs="方正小标宋简体"/>
          <w:kern w:val="0"/>
          <w:sz w:val="44"/>
          <w:szCs w:val="44"/>
        </w:rPr>
        <w:t>县城市基础设施配套费减征、免征审批表</w:t>
      </w:r>
    </w:p>
    <w:p w14:paraId="24C0FDA2">
      <w:pPr>
        <w:tabs>
          <w:tab w:val="left" w:pos="7584"/>
        </w:tabs>
        <w:spacing w:line="240" w:lineRule="exact"/>
        <w:jc w:val="center"/>
        <w:rPr>
          <w:rFonts w:hint="eastAsia" w:ascii="方正小标宋简体" w:hAnsi="方正小标宋简体" w:eastAsia="方正小标宋简体" w:cs="方正小标宋简体"/>
          <w:kern w:val="0"/>
          <w:sz w:val="44"/>
          <w:szCs w:val="44"/>
        </w:rPr>
      </w:pPr>
    </w:p>
    <w:p w14:paraId="65EAC826">
      <w:pPr>
        <w:tabs>
          <w:tab w:val="left" w:pos="7584"/>
        </w:tabs>
        <w:spacing w:line="520" w:lineRule="exact"/>
        <w:jc w:val="left"/>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申请单位(公章)         填报日期:　　年  月   日       编号</w:t>
      </w:r>
    </w:p>
    <w:tbl>
      <w:tblPr>
        <w:tblStyle w:val="6"/>
        <w:tblpPr w:leftFromText="180" w:rightFromText="180" w:vertAnchor="text" w:horzAnchor="page" w:tblpXSpec="center" w:tblpY="1"/>
        <w:tblOverlap w:val="never"/>
        <w:tblW w:w="9137" w:type="dxa"/>
        <w:jc w:val="center"/>
        <w:tblLayout w:type="fixed"/>
        <w:tblCellMar>
          <w:top w:w="0" w:type="dxa"/>
          <w:left w:w="108" w:type="dxa"/>
          <w:bottom w:w="0" w:type="dxa"/>
          <w:right w:w="108" w:type="dxa"/>
        </w:tblCellMar>
      </w:tblPr>
      <w:tblGrid>
        <w:gridCol w:w="332"/>
        <w:gridCol w:w="1452"/>
        <w:gridCol w:w="497"/>
        <w:gridCol w:w="807"/>
        <w:gridCol w:w="2015"/>
        <w:gridCol w:w="1668"/>
        <w:gridCol w:w="2360"/>
        <w:gridCol w:w="6"/>
      </w:tblGrid>
      <w:tr w14:paraId="474317B0">
        <w:tblPrEx>
          <w:tblCellMar>
            <w:top w:w="0" w:type="dxa"/>
            <w:left w:w="108" w:type="dxa"/>
            <w:bottom w:w="0" w:type="dxa"/>
            <w:right w:w="108" w:type="dxa"/>
          </w:tblCellMar>
        </w:tblPrEx>
        <w:trPr>
          <w:trHeight w:val="729" w:hRule="atLeast"/>
          <w:jc w:val="center"/>
        </w:trPr>
        <w:tc>
          <w:tcPr>
            <w:tcW w:w="332" w:type="dxa"/>
            <w:vMerge w:val="restart"/>
            <w:tcBorders>
              <w:top w:val="single" w:color="000000" w:sz="4" w:space="0"/>
              <w:left w:val="single" w:color="000000" w:sz="4" w:space="0"/>
              <w:bottom w:val="single" w:color="000000" w:sz="4" w:space="0"/>
              <w:right w:val="single" w:color="000000" w:sz="4" w:space="0"/>
            </w:tcBorders>
            <w:noWrap w:val="0"/>
            <w:vAlign w:val="center"/>
          </w:tcPr>
          <w:p w14:paraId="31718907">
            <w:pPr>
              <w:widowControl/>
              <w:jc w:val="center"/>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1</w:t>
            </w:r>
          </w:p>
        </w:tc>
        <w:tc>
          <w:tcPr>
            <w:tcW w:w="1949" w:type="dxa"/>
            <w:gridSpan w:val="2"/>
            <w:tcBorders>
              <w:top w:val="single" w:color="000000" w:sz="4" w:space="0"/>
              <w:bottom w:val="single" w:color="000000" w:sz="4" w:space="0"/>
              <w:right w:val="single" w:color="000000" w:sz="4" w:space="0"/>
            </w:tcBorders>
            <w:noWrap w:val="0"/>
            <w:vAlign w:val="center"/>
          </w:tcPr>
          <w:p w14:paraId="12340192">
            <w:pPr>
              <w:widowControl/>
              <w:jc w:val="left"/>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建设项目名称</w:t>
            </w:r>
          </w:p>
        </w:tc>
        <w:tc>
          <w:tcPr>
            <w:tcW w:w="6856" w:type="dxa"/>
            <w:gridSpan w:val="5"/>
            <w:tcBorders>
              <w:top w:val="single" w:color="000000" w:sz="4" w:space="0"/>
              <w:bottom w:val="single" w:color="000000" w:sz="4" w:space="0"/>
              <w:right w:val="single" w:color="000000" w:sz="4" w:space="0"/>
            </w:tcBorders>
            <w:noWrap w:val="0"/>
            <w:vAlign w:val="bottom"/>
          </w:tcPr>
          <w:p w14:paraId="78D7BE66">
            <w:pPr>
              <w:widowControl/>
              <w:jc w:val="center"/>
              <w:rPr>
                <w:rFonts w:hint="eastAsia" w:ascii="仿宋_GB2312" w:hAnsi="仿宋_GB2312" w:eastAsia="仿宋_GB2312" w:cs="仿宋_GB2312"/>
                <w:sz w:val="28"/>
                <w:szCs w:val="28"/>
              </w:rPr>
            </w:pPr>
          </w:p>
        </w:tc>
      </w:tr>
      <w:tr w14:paraId="03F8A80E">
        <w:tblPrEx>
          <w:tblCellMar>
            <w:top w:w="0" w:type="dxa"/>
            <w:left w:w="108" w:type="dxa"/>
            <w:bottom w:w="0" w:type="dxa"/>
            <w:right w:w="108" w:type="dxa"/>
          </w:tblCellMar>
        </w:tblPrEx>
        <w:trPr>
          <w:trHeight w:val="729" w:hRule="atLeast"/>
          <w:jc w:val="center"/>
        </w:trPr>
        <w:tc>
          <w:tcPr>
            <w:tcW w:w="33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F0D28A">
            <w:pPr>
              <w:widowControl/>
              <w:snapToGrid w:val="0"/>
              <w:jc w:val="left"/>
              <w:rPr>
                <w:rFonts w:hint="eastAsia" w:ascii="仿宋_GB2312" w:hAnsi="仿宋_GB2312" w:eastAsia="仿宋_GB2312" w:cs="仿宋_GB2312"/>
                <w:kern w:val="0"/>
                <w:sz w:val="28"/>
                <w:szCs w:val="28"/>
              </w:rPr>
            </w:pPr>
          </w:p>
        </w:tc>
        <w:tc>
          <w:tcPr>
            <w:tcW w:w="1949" w:type="dxa"/>
            <w:gridSpan w:val="2"/>
            <w:tcBorders>
              <w:bottom w:val="single" w:color="000000" w:sz="4" w:space="0"/>
              <w:right w:val="single" w:color="000000" w:sz="4" w:space="0"/>
            </w:tcBorders>
            <w:noWrap w:val="0"/>
            <w:vAlign w:val="center"/>
          </w:tcPr>
          <w:p w14:paraId="7F310D39">
            <w:pPr>
              <w:widowControl/>
              <w:jc w:val="left"/>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建设项目地址</w:t>
            </w:r>
          </w:p>
        </w:tc>
        <w:tc>
          <w:tcPr>
            <w:tcW w:w="6856" w:type="dxa"/>
            <w:gridSpan w:val="5"/>
            <w:tcBorders>
              <w:bottom w:val="single" w:color="000000" w:sz="4" w:space="0"/>
              <w:right w:val="single" w:color="000000" w:sz="4" w:space="0"/>
            </w:tcBorders>
            <w:noWrap w:val="0"/>
            <w:vAlign w:val="center"/>
          </w:tcPr>
          <w:p w14:paraId="62AD1839">
            <w:pPr>
              <w:widowControl/>
              <w:snapToGrid w:val="0"/>
              <w:jc w:val="left"/>
              <w:rPr>
                <w:rFonts w:hint="eastAsia" w:ascii="仿宋_GB2312" w:hAnsi="仿宋_GB2312" w:eastAsia="仿宋_GB2312" w:cs="仿宋_GB2312"/>
                <w:kern w:val="0"/>
                <w:sz w:val="28"/>
                <w:szCs w:val="28"/>
              </w:rPr>
            </w:pPr>
          </w:p>
        </w:tc>
      </w:tr>
      <w:tr w14:paraId="0839B9EA">
        <w:tblPrEx>
          <w:tblCellMar>
            <w:top w:w="0" w:type="dxa"/>
            <w:left w:w="108" w:type="dxa"/>
            <w:bottom w:w="0" w:type="dxa"/>
            <w:right w:w="108" w:type="dxa"/>
          </w:tblCellMar>
        </w:tblPrEx>
        <w:trPr>
          <w:trHeight w:val="729" w:hRule="atLeast"/>
          <w:jc w:val="center"/>
        </w:trPr>
        <w:tc>
          <w:tcPr>
            <w:tcW w:w="33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C32ED1">
            <w:pPr>
              <w:widowControl/>
              <w:snapToGrid w:val="0"/>
              <w:jc w:val="left"/>
              <w:rPr>
                <w:rFonts w:hint="eastAsia" w:ascii="仿宋_GB2312" w:hAnsi="仿宋_GB2312" w:eastAsia="仿宋_GB2312" w:cs="仿宋_GB2312"/>
                <w:kern w:val="0"/>
                <w:sz w:val="28"/>
                <w:szCs w:val="28"/>
              </w:rPr>
            </w:pPr>
          </w:p>
        </w:tc>
        <w:tc>
          <w:tcPr>
            <w:tcW w:w="1949" w:type="dxa"/>
            <w:gridSpan w:val="2"/>
            <w:tcBorders>
              <w:top w:val="single" w:color="000000" w:sz="4" w:space="0"/>
              <w:bottom w:val="single" w:color="000000" w:sz="4" w:space="0"/>
              <w:right w:val="single" w:color="000000" w:sz="4" w:space="0"/>
            </w:tcBorders>
            <w:noWrap w:val="0"/>
            <w:vAlign w:val="center"/>
          </w:tcPr>
          <w:p w14:paraId="3CCF3CA1">
            <w:pPr>
              <w:widowControl/>
              <w:jc w:val="left"/>
              <w:rPr>
                <w:rFonts w:hint="eastAsia" w:ascii="仿宋_GB2312" w:hAnsi="仿宋_GB2312" w:eastAsia="仿宋_GB2312" w:cs="仿宋_GB2312"/>
                <w:sz w:val="28"/>
                <w:szCs w:val="28"/>
                <w:lang w:bidi="hi-IN"/>
              </w:rPr>
            </w:pPr>
            <w:r>
              <w:rPr>
                <w:rFonts w:hint="eastAsia" w:ascii="仿宋_GB2312" w:hAnsi="仿宋_GB2312" w:eastAsia="仿宋_GB2312" w:cs="仿宋_GB2312"/>
                <w:kern w:val="0"/>
                <w:sz w:val="28"/>
                <w:szCs w:val="28"/>
              </w:rPr>
              <w:t>建设单位联系人及电话</w:t>
            </w:r>
          </w:p>
        </w:tc>
        <w:tc>
          <w:tcPr>
            <w:tcW w:w="6856" w:type="dxa"/>
            <w:gridSpan w:val="5"/>
            <w:tcBorders>
              <w:top w:val="single" w:color="000000" w:sz="4" w:space="0"/>
              <w:bottom w:val="single" w:color="000000" w:sz="4" w:space="0"/>
              <w:right w:val="single" w:color="000000" w:sz="4" w:space="0"/>
            </w:tcBorders>
            <w:noWrap w:val="0"/>
            <w:vAlign w:val="top"/>
          </w:tcPr>
          <w:p w14:paraId="413A9D16">
            <w:pPr>
              <w:widowControl/>
              <w:jc w:val="left"/>
              <w:rPr>
                <w:rFonts w:hint="eastAsia" w:ascii="仿宋_GB2312" w:hAnsi="仿宋_GB2312" w:eastAsia="仿宋_GB2312" w:cs="仿宋_GB2312"/>
                <w:sz w:val="28"/>
                <w:szCs w:val="28"/>
              </w:rPr>
            </w:pPr>
          </w:p>
        </w:tc>
      </w:tr>
      <w:tr w14:paraId="43739FE4">
        <w:tblPrEx>
          <w:tblCellMar>
            <w:top w:w="0" w:type="dxa"/>
            <w:left w:w="108" w:type="dxa"/>
            <w:bottom w:w="0" w:type="dxa"/>
            <w:right w:w="108" w:type="dxa"/>
          </w:tblCellMar>
        </w:tblPrEx>
        <w:trPr>
          <w:trHeight w:val="467" w:hRule="atLeast"/>
          <w:jc w:val="center"/>
        </w:trPr>
        <w:tc>
          <w:tcPr>
            <w:tcW w:w="332" w:type="dxa"/>
            <w:vMerge w:val="restart"/>
            <w:tcBorders>
              <w:left w:val="single" w:color="000000" w:sz="4" w:space="0"/>
              <w:bottom w:val="single" w:color="000000" w:sz="4" w:space="0"/>
              <w:right w:val="single" w:color="000000" w:sz="4" w:space="0"/>
            </w:tcBorders>
            <w:noWrap w:val="0"/>
            <w:vAlign w:val="center"/>
          </w:tcPr>
          <w:p w14:paraId="76ED1B1C">
            <w:pPr>
              <w:widowControl/>
              <w:jc w:val="center"/>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2</w:t>
            </w:r>
          </w:p>
        </w:tc>
        <w:tc>
          <w:tcPr>
            <w:tcW w:w="8805" w:type="dxa"/>
            <w:gridSpan w:val="7"/>
            <w:tcBorders>
              <w:top w:val="single" w:color="000000" w:sz="4" w:space="0"/>
              <w:bottom w:val="single" w:color="000000" w:sz="4" w:space="0"/>
              <w:right w:val="single" w:color="000000" w:sz="4" w:space="0"/>
            </w:tcBorders>
            <w:noWrap w:val="0"/>
            <w:vAlign w:val="center"/>
          </w:tcPr>
          <w:p w14:paraId="327FB733">
            <w:pPr>
              <w:widowControl/>
              <w:jc w:val="center"/>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城市配套费减免计算</w:t>
            </w:r>
          </w:p>
        </w:tc>
      </w:tr>
      <w:tr w14:paraId="57A580B7">
        <w:tblPrEx>
          <w:tblCellMar>
            <w:top w:w="0" w:type="dxa"/>
            <w:left w:w="108" w:type="dxa"/>
            <w:bottom w:w="0" w:type="dxa"/>
            <w:right w:w="108" w:type="dxa"/>
          </w:tblCellMar>
        </w:tblPrEx>
        <w:trPr>
          <w:trHeight w:val="1372" w:hRule="atLeast"/>
          <w:jc w:val="center"/>
        </w:trPr>
        <w:tc>
          <w:tcPr>
            <w:tcW w:w="332" w:type="dxa"/>
            <w:vMerge w:val="continue"/>
            <w:tcBorders>
              <w:left w:val="single" w:color="000000" w:sz="4" w:space="0"/>
              <w:bottom w:val="single" w:color="000000" w:sz="4" w:space="0"/>
              <w:right w:val="single" w:color="000000" w:sz="4" w:space="0"/>
            </w:tcBorders>
            <w:noWrap w:val="0"/>
            <w:vAlign w:val="center"/>
          </w:tcPr>
          <w:p w14:paraId="106DB67F">
            <w:pPr>
              <w:widowControl/>
              <w:snapToGrid w:val="0"/>
              <w:jc w:val="left"/>
              <w:rPr>
                <w:rFonts w:hint="eastAsia" w:ascii="仿宋_GB2312" w:hAnsi="仿宋_GB2312" w:eastAsia="仿宋_GB2312" w:cs="仿宋_GB2312"/>
                <w:kern w:val="0"/>
                <w:sz w:val="28"/>
                <w:szCs w:val="28"/>
              </w:rPr>
            </w:pPr>
          </w:p>
        </w:tc>
        <w:tc>
          <w:tcPr>
            <w:tcW w:w="1452" w:type="dxa"/>
            <w:tcBorders>
              <w:bottom w:val="single" w:color="000000" w:sz="4" w:space="0"/>
              <w:right w:val="single" w:color="000000" w:sz="4" w:space="0"/>
            </w:tcBorders>
            <w:noWrap w:val="0"/>
            <w:vAlign w:val="center"/>
          </w:tcPr>
          <w:p w14:paraId="18AFCE37">
            <w:pPr>
              <w:widowControl/>
              <w:jc w:val="center"/>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类型</w:t>
            </w:r>
          </w:p>
        </w:tc>
        <w:tc>
          <w:tcPr>
            <w:tcW w:w="1304" w:type="dxa"/>
            <w:gridSpan w:val="2"/>
            <w:tcBorders>
              <w:bottom w:val="single" w:color="000000" w:sz="4" w:space="0"/>
              <w:right w:val="single" w:color="000000" w:sz="4" w:space="0"/>
            </w:tcBorders>
            <w:noWrap w:val="0"/>
            <w:vAlign w:val="center"/>
          </w:tcPr>
          <w:p w14:paraId="095EB47B">
            <w:pPr>
              <w:widowControl/>
              <w:jc w:val="center"/>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建筑面积(</w:t>
            </w:r>
            <w:r>
              <w:rPr>
                <w:rFonts w:hint="eastAsia" w:ascii="仿宋_GB2312" w:hAnsi="仿宋_GB2312" w:eastAsia="仿宋_GB2312" w:cs="仿宋_GB2312"/>
                <w:color w:val="000000"/>
                <w:sz w:val="28"/>
                <w:szCs w:val="28"/>
              </w:rPr>
              <w:t>㎡</w:t>
            </w:r>
            <w:r>
              <w:rPr>
                <w:rFonts w:hint="eastAsia" w:ascii="仿宋_GB2312" w:hAnsi="仿宋_GB2312" w:eastAsia="仿宋_GB2312" w:cs="仿宋_GB2312"/>
                <w:kern w:val="0"/>
                <w:sz w:val="28"/>
                <w:szCs w:val="28"/>
              </w:rPr>
              <w:t>)</w:t>
            </w:r>
          </w:p>
        </w:tc>
        <w:tc>
          <w:tcPr>
            <w:tcW w:w="2015" w:type="dxa"/>
            <w:tcBorders>
              <w:bottom w:val="single" w:color="000000" w:sz="4" w:space="0"/>
              <w:right w:val="single" w:color="000000" w:sz="4" w:space="0"/>
            </w:tcBorders>
            <w:noWrap w:val="0"/>
            <w:vAlign w:val="center"/>
          </w:tcPr>
          <w:p w14:paraId="7C6F0506">
            <w:pPr>
              <w:widowControl/>
              <w:jc w:val="center"/>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依标准计算的配套费(元)</w:t>
            </w:r>
          </w:p>
        </w:tc>
        <w:tc>
          <w:tcPr>
            <w:tcW w:w="1668" w:type="dxa"/>
            <w:tcBorders>
              <w:bottom w:val="single" w:color="000000" w:sz="4" w:space="0"/>
              <w:right w:val="single" w:color="000000" w:sz="4" w:space="0"/>
            </w:tcBorders>
            <w:noWrap w:val="0"/>
            <w:vAlign w:val="center"/>
          </w:tcPr>
          <w:p w14:paraId="5B3EC7FB">
            <w:pPr>
              <w:widowControl/>
              <w:jc w:val="center"/>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申请减免配套费金额(元)</w:t>
            </w:r>
          </w:p>
        </w:tc>
        <w:tc>
          <w:tcPr>
            <w:tcW w:w="2366" w:type="dxa"/>
            <w:gridSpan w:val="2"/>
            <w:tcBorders>
              <w:top w:val="single" w:color="000000" w:sz="4" w:space="0"/>
              <w:bottom w:val="single" w:color="000000" w:sz="4" w:space="0"/>
              <w:right w:val="single" w:color="000000" w:sz="4" w:space="0"/>
            </w:tcBorders>
            <w:noWrap w:val="0"/>
            <w:vAlign w:val="center"/>
          </w:tcPr>
          <w:p w14:paraId="0EB4C216">
            <w:pPr>
              <w:widowControl/>
              <w:jc w:val="center"/>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申请减免后应缴配套费金额(元)</w:t>
            </w:r>
          </w:p>
        </w:tc>
      </w:tr>
      <w:tr w14:paraId="2D2E13BD">
        <w:tblPrEx>
          <w:tblCellMar>
            <w:top w:w="0" w:type="dxa"/>
            <w:left w:w="108" w:type="dxa"/>
            <w:bottom w:w="0" w:type="dxa"/>
            <w:right w:w="108" w:type="dxa"/>
          </w:tblCellMar>
        </w:tblPrEx>
        <w:trPr>
          <w:trHeight w:val="467" w:hRule="atLeast"/>
          <w:jc w:val="center"/>
        </w:trPr>
        <w:tc>
          <w:tcPr>
            <w:tcW w:w="332" w:type="dxa"/>
            <w:vMerge w:val="continue"/>
            <w:tcBorders>
              <w:left w:val="single" w:color="000000" w:sz="4" w:space="0"/>
              <w:bottom w:val="single" w:color="000000" w:sz="4" w:space="0"/>
              <w:right w:val="single" w:color="000000" w:sz="4" w:space="0"/>
            </w:tcBorders>
            <w:noWrap w:val="0"/>
            <w:vAlign w:val="center"/>
          </w:tcPr>
          <w:p w14:paraId="7F15FA0D">
            <w:pPr>
              <w:widowControl/>
              <w:snapToGrid w:val="0"/>
              <w:jc w:val="left"/>
              <w:rPr>
                <w:rFonts w:hint="eastAsia" w:ascii="仿宋_GB2312" w:hAnsi="仿宋_GB2312" w:eastAsia="仿宋_GB2312" w:cs="仿宋_GB2312"/>
                <w:kern w:val="0"/>
                <w:sz w:val="28"/>
                <w:szCs w:val="28"/>
              </w:rPr>
            </w:pPr>
          </w:p>
        </w:tc>
        <w:tc>
          <w:tcPr>
            <w:tcW w:w="1452" w:type="dxa"/>
            <w:tcBorders>
              <w:bottom w:val="single" w:color="000000" w:sz="4" w:space="0"/>
              <w:right w:val="single" w:color="000000" w:sz="4" w:space="0"/>
            </w:tcBorders>
            <w:noWrap w:val="0"/>
            <w:vAlign w:val="center"/>
          </w:tcPr>
          <w:p w14:paraId="38B644D4">
            <w:pPr>
              <w:widowControl/>
              <w:jc w:val="center"/>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住宅</w:t>
            </w:r>
          </w:p>
        </w:tc>
        <w:tc>
          <w:tcPr>
            <w:tcW w:w="1304" w:type="dxa"/>
            <w:gridSpan w:val="2"/>
            <w:tcBorders>
              <w:bottom w:val="single" w:color="000000" w:sz="4" w:space="0"/>
              <w:right w:val="single" w:color="000000" w:sz="4" w:space="0"/>
            </w:tcBorders>
            <w:noWrap w:val="0"/>
            <w:vAlign w:val="bottom"/>
          </w:tcPr>
          <w:p w14:paraId="1EE73D2A">
            <w:pPr>
              <w:widowControl/>
              <w:jc w:val="left"/>
              <w:rPr>
                <w:rFonts w:hint="eastAsia" w:ascii="仿宋_GB2312" w:hAnsi="仿宋_GB2312" w:eastAsia="仿宋_GB2312" w:cs="仿宋_GB2312"/>
                <w:sz w:val="28"/>
                <w:szCs w:val="28"/>
              </w:rPr>
            </w:pPr>
          </w:p>
        </w:tc>
        <w:tc>
          <w:tcPr>
            <w:tcW w:w="2015" w:type="dxa"/>
            <w:tcBorders>
              <w:bottom w:val="single" w:color="000000" w:sz="4" w:space="0"/>
              <w:right w:val="single" w:color="000000" w:sz="4" w:space="0"/>
            </w:tcBorders>
            <w:noWrap w:val="0"/>
            <w:vAlign w:val="bottom"/>
          </w:tcPr>
          <w:p w14:paraId="69FE3CC0">
            <w:pPr>
              <w:widowControl/>
              <w:jc w:val="left"/>
              <w:rPr>
                <w:rFonts w:hint="eastAsia" w:ascii="仿宋_GB2312" w:hAnsi="仿宋_GB2312" w:eastAsia="仿宋_GB2312" w:cs="仿宋_GB2312"/>
                <w:sz w:val="28"/>
                <w:szCs w:val="28"/>
              </w:rPr>
            </w:pPr>
          </w:p>
        </w:tc>
        <w:tc>
          <w:tcPr>
            <w:tcW w:w="1668" w:type="dxa"/>
            <w:tcBorders>
              <w:bottom w:val="single" w:color="000000" w:sz="4" w:space="0"/>
              <w:right w:val="single" w:color="000000" w:sz="4" w:space="0"/>
            </w:tcBorders>
            <w:noWrap w:val="0"/>
            <w:vAlign w:val="bottom"/>
          </w:tcPr>
          <w:p w14:paraId="7DAD20A9">
            <w:pPr>
              <w:widowControl/>
              <w:jc w:val="left"/>
              <w:rPr>
                <w:rFonts w:hint="eastAsia" w:ascii="仿宋_GB2312" w:hAnsi="仿宋_GB2312" w:eastAsia="仿宋_GB2312" w:cs="仿宋_GB2312"/>
                <w:sz w:val="28"/>
                <w:szCs w:val="28"/>
              </w:rPr>
            </w:pPr>
          </w:p>
        </w:tc>
        <w:tc>
          <w:tcPr>
            <w:tcW w:w="2366" w:type="dxa"/>
            <w:gridSpan w:val="2"/>
            <w:tcBorders>
              <w:top w:val="single" w:color="000000" w:sz="4" w:space="0"/>
              <w:bottom w:val="single" w:color="000000" w:sz="4" w:space="0"/>
              <w:right w:val="single" w:color="000000" w:sz="4" w:space="0"/>
            </w:tcBorders>
            <w:noWrap w:val="0"/>
            <w:vAlign w:val="bottom"/>
          </w:tcPr>
          <w:p w14:paraId="00DBDDAB">
            <w:pPr>
              <w:widowControl/>
              <w:jc w:val="center"/>
              <w:rPr>
                <w:rFonts w:hint="eastAsia" w:ascii="仿宋_GB2312" w:hAnsi="仿宋_GB2312" w:eastAsia="仿宋_GB2312" w:cs="仿宋_GB2312"/>
                <w:sz w:val="28"/>
                <w:szCs w:val="28"/>
              </w:rPr>
            </w:pPr>
          </w:p>
        </w:tc>
      </w:tr>
      <w:tr w14:paraId="0EA40E67">
        <w:tblPrEx>
          <w:tblCellMar>
            <w:top w:w="0" w:type="dxa"/>
            <w:left w:w="108" w:type="dxa"/>
            <w:bottom w:w="0" w:type="dxa"/>
            <w:right w:w="108" w:type="dxa"/>
          </w:tblCellMar>
        </w:tblPrEx>
        <w:trPr>
          <w:trHeight w:val="467" w:hRule="atLeast"/>
          <w:jc w:val="center"/>
        </w:trPr>
        <w:tc>
          <w:tcPr>
            <w:tcW w:w="332" w:type="dxa"/>
            <w:vMerge w:val="continue"/>
            <w:tcBorders>
              <w:left w:val="single" w:color="000000" w:sz="4" w:space="0"/>
              <w:bottom w:val="single" w:color="000000" w:sz="4" w:space="0"/>
              <w:right w:val="single" w:color="000000" w:sz="4" w:space="0"/>
            </w:tcBorders>
            <w:noWrap w:val="0"/>
            <w:vAlign w:val="center"/>
          </w:tcPr>
          <w:p w14:paraId="082B8F7F">
            <w:pPr>
              <w:widowControl/>
              <w:snapToGrid w:val="0"/>
              <w:jc w:val="left"/>
              <w:rPr>
                <w:rFonts w:hint="eastAsia" w:ascii="仿宋_GB2312" w:hAnsi="仿宋_GB2312" w:eastAsia="仿宋_GB2312" w:cs="仿宋_GB2312"/>
                <w:kern w:val="0"/>
                <w:sz w:val="28"/>
                <w:szCs w:val="28"/>
              </w:rPr>
            </w:pPr>
          </w:p>
        </w:tc>
        <w:tc>
          <w:tcPr>
            <w:tcW w:w="1452" w:type="dxa"/>
            <w:tcBorders>
              <w:bottom w:val="single" w:color="000000" w:sz="4" w:space="0"/>
              <w:right w:val="single" w:color="000000" w:sz="4" w:space="0"/>
            </w:tcBorders>
            <w:noWrap w:val="0"/>
            <w:vAlign w:val="center"/>
          </w:tcPr>
          <w:p w14:paraId="12A15BA0">
            <w:pPr>
              <w:widowControl/>
              <w:jc w:val="center"/>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（含写字楼）</w:t>
            </w:r>
          </w:p>
        </w:tc>
        <w:tc>
          <w:tcPr>
            <w:tcW w:w="1304" w:type="dxa"/>
            <w:gridSpan w:val="2"/>
            <w:tcBorders>
              <w:bottom w:val="single" w:color="000000" w:sz="4" w:space="0"/>
              <w:right w:val="single" w:color="000000" w:sz="4" w:space="0"/>
            </w:tcBorders>
            <w:noWrap w:val="0"/>
            <w:vAlign w:val="bottom"/>
          </w:tcPr>
          <w:p w14:paraId="66936F97">
            <w:pPr>
              <w:widowControl/>
              <w:jc w:val="left"/>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　</w:t>
            </w:r>
          </w:p>
        </w:tc>
        <w:tc>
          <w:tcPr>
            <w:tcW w:w="2015" w:type="dxa"/>
            <w:tcBorders>
              <w:bottom w:val="single" w:color="000000" w:sz="4" w:space="0"/>
              <w:right w:val="single" w:color="000000" w:sz="4" w:space="0"/>
            </w:tcBorders>
            <w:noWrap w:val="0"/>
            <w:vAlign w:val="bottom"/>
          </w:tcPr>
          <w:p w14:paraId="7E9DA120">
            <w:pPr>
              <w:widowControl/>
              <w:jc w:val="left"/>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　</w:t>
            </w:r>
          </w:p>
        </w:tc>
        <w:tc>
          <w:tcPr>
            <w:tcW w:w="1668" w:type="dxa"/>
            <w:tcBorders>
              <w:bottom w:val="single" w:color="000000" w:sz="4" w:space="0"/>
              <w:right w:val="single" w:color="000000" w:sz="4" w:space="0"/>
            </w:tcBorders>
            <w:noWrap w:val="0"/>
            <w:vAlign w:val="bottom"/>
          </w:tcPr>
          <w:p w14:paraId="61C6CF80">
            <w:pPr>
              <w:widowControl/>
              <w:jc w:val="left"/>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　</w:t>
            </w:r>
          </w:p>
        </w:tc>
        <w:tc>
          <w:tcPr>
            <w:tcW w:w="2366" w:type="dxa"/>
            <w:gridSpan w:val="2"/>
            <w:tcBorders>
              <w:top w:val="single" w:color="000000" w:sz="4" w:space="0"/>
              <w:bottom w:val="single" w:color="000000" w:sz="4" w:space="0"/>
              <w:right w:val="single" w:color="000000" w:sz="4" w:space="0"/>
            </w:tcBorders>
            <w:noWrap w:val="0"/>
            <w:vAlign w:val="bottom"/>
          </w:tcPr>
          <w:p w14:paraId="138614A6">
            <w:pPr>
              <w:widowControl/>
              <w:jc w:val="center"/>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　</w:t>
            </w:r>
          </w:p>
        </w:tc>
      </w:tr>
      <w:tr w14:paraId="2BFE4CDA">
        <w:tblPrEx>
          <w:tblCellMar>
            <w:top w:w="0" w:type="dxa"/>
            <w:left w:w="108" w:type="dxa"/>
            <w:bottom w:w="0" w:type="dxa"/>
            <w:right w:w="108" w:type="dxa"/>
          </w:tblCellMar>
        </w:tblPrEx>
        <w:trPr>
          <w:trHeight w:val="467" w:hRule="atLeast"/>
          <w:jc w:val="center"/>
        </w:trPr>
        <w:tc>
          <w:tcPr>
            <w:tcW w:w="332" w:type="dxa"/>
            <w:vMerge w:val="continue"/>
            <w:tcBorders>
              <w:left w:val="single" w:color="000000" w:sz="4" w:space="0"/>
              <w:bottom w:val="single" w:color="000000" w:sz="4" w:space="0"/>
              <w:right w:val="single" w:color="000000" w:sz="4" w:space="0"/>
            </w:tcBorders>
            <w:noWrap w:val="0"/>
            <w:vAlign w:val="center"/>
          </w:tcPr>
          <w:p w14:paraId="015E1A96">
            <w:pPr>
              <w:widowControl/>
              <w:snapToGrid w:val="0"/>
              <w:jc w:val="left"/>
              <w:rPr>
                <w:rFonts w:hint="eastAsia" w:ascii="仿宋_GB2312" w:hAnsi="仿宋_GB2312" w:eastAsia="仿宋_GB2312" w:cs="仿宋_GB2312"/>
                <w:kern w:val="0"/>
                <w:sz w:val="28"/>
                <w:szCs w:val="28"/>
              </w:rPr>
            </w:pPr>
          </w:p>
        </w:tc>
        <w:tc>
          <w:tcPr>
            <w:tcW w:w="1452" w:type="dxa"/>
            <w:tcBorders>
              <w:bottom w:val="single" w:color="000000" w:sz="4" w:space="0"/>
              <w:right w:val="single" w:color="000000" w:sz="4" w:space="0"/>
            </w:tcBorders>
            <w:noWrap w:val="0"/>
            <w:vAlign w:val="center"/>
          </w:tcPr>
          <w:p w14:paraId="55516283">
            <w:pPr>
              <w:widowControl/>
              <w:jc w:val="center"/>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工业</w:t>
            </w:r>
          </w:p>
        </w:tc>
        <w:tc>
          <w:tcPr>
            <w:tcW w:w="1304" w:type="dxa"/>
            <w:gridSpan w:val="2"/>
            <w:tcBorders>
              <w:bottom w:val="single" w:color="000000" w:sz="4" w:space="0"/>
              <w:right w:val="single" w:color="000000" w:sz="4" w:space="0"/>
            </w:tcBorders>
            <w:noWrap w:val="0"/>
            <w:vAlign w:val="bottom"/>
          </w:tcPr>
          <w:p w14:paraId="51F82E1C">
            <w:pPr>
              <w:widowControl/>
              <w:jc w:val="left"/>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　</w:t>
            </w:r>
          </w:p>
        </w:tc>
        <w:tc>
          <w:tcPr>
            <w:tcW w:w="2015" w:type="dxa"/>
            <w:tcBorders>
              <w:bottom w:val="single" w:color="000000" w:sz="4" w:space="0"/>
              <w:right w:val="single" w:color="000000" w:sz="4" w:space="0"/>
            </w:tcBorders>
            <w:noWrap w:val="0"/>
            <w:vAlign w:val="bottom"/>
          </w:tcPr>
          <w:p w14:paraId="1F13406A">
            <w:pPr>
              <w:widowControl/>
              <w:jc w:val="left"/>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　</w:t>
            </w:r>
          </w:p>
        </w:tc>
        <w:tc>
          <w:tcPr>
            <w:tcW w:w="1668" w:type="dxa"/>
            <w:tcBorders>
              <w:bottom w:val="single" w:color="000000" w:sz="4" w:space="0"/>
              <w:right w:val="single" w:color="000000" w:sz="4" w:space="0"/>
            </w:tcBorders>
            <w:noWrap w:val="0"/>
            <w:vAlign w:val="bottom"/>
          </w:tcPr>
          <w:p w14:paraId="167CC023">
            <w:pPr>
              <w:widowControl/>
              <w:jc w:val="left"/>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　</w:t>
            </w:r>
          </w:p>
        </w:tc>
        <w:tc>
          <w:tcPr>
            <w:tcW w:w="2366" w:type="dxa"/>
            <w:gridSpan w:val="2"/>
            <w:tcBorders>
              <w:top w:val="single" w:color="000000" w:sz="4" w:space="0"/>
              <w:bottom w:val="single" w:color="000000" w:sz="4" w:space="0"/>
              <w:right w:val="single" w:color="000000" w:sz="4" w:space="0"/>
            </w:tcBorders>
            <w:noWrap w:val="0"/>
            <w:vAlign w:val="bottom"/>
          </w:tcPr>
          <w:p w14:paraId="2221ACB8">
            <w:pPr>
              <w:widowControl/>
              <w:jc w:val="center"/>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　</w:t>
            </w:r>
          </w:p>
        </w:tc>
      </w:tr>
      <w:tr w14:paraId="2BE7BDA4">
        <w:tblPrEx>
          <w:tblCellMar>
            <w:top w:w="0" w:type="dxa"/>
            <w:left w:w="108" w:type="dxa"/>
            <w:bottom w:w="0" w:type="dxa"/>
            <w:right w:w="108" w:type="dxa"/>
          </w:tblCellMar>
        </w:tblPrEx>
        <w:trPr>
          <w:trHeight w:val="467" w:hRule="atLeast"/>
          <w:jc w:val="center"/>
        </w:trPr>
        <w:tc>
          <w:tcPr>
            <w:tcW w:w="332" w:type="dxa"/>
            <w:vMerge w:val="continue"/>
            <w:tcBorders>
              <w:left w:val="single" w:color="000000" w:sz="4" w:space="0"/>
              <w:bottom w:val="single" w:color="000000" w:sz="4" w:space="0"/>
              <w:right w:val="single" w:color="000000" w:sz="4" w:space="0"/>
            </w:tcBorders>
            <w:noWrap w:val="0"/>
            <w:vAlign w:val="center"/>
          </w:tcPr>
          <w:p w14:paraId="0E4E0D39">
            <w:pPr>
              <w:widowControl/>
              <w:snapToGrid w:val="0"/>
              <w:jc w:val="left"/>
              <w:rPr>
                <w:rFonts w:hint="eastAsia" w:ascii="仿宋_GB2312" w:hAnsi="仿宋_GB2312" w:eastAsia="仿宋_GB2312" w:cs="仿宋_GB2312"/>
                <w:kern w:val="0"/>
                <w:sz w:val="28"/>
                <w:szCs w:val="28"/>
              </w:rPr>
            </w:pPr>
          </w:p>
        </w:tc>
        <w:tc>
          <w:tcPr>
            <w:tcW w:w="1452" w:type="dxa"/>
            <w:tcBorders>
              <w:bottom w:val="single" w:color="000000" w:sz="4" w:space="0"/>
              <w:right w:val="single" w:color="000000" w:sz="4" w:space="0"/>
            </w:tcBorders>
            <w:noWrap w:val="0"/>
            <w:vAlign w:val="center"/>
          </w:tcPr>
          <w:p w14:paraId="0CF09F73">
            <w:pPr>
              <w:widowControl/>
              <w:jc w:val="center"/>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合计</w:t>
            </w:r>
          </w:p>
        </w:tc>
        <w:tc>
          <w:tcPr>
            <w:tcW w:w="1304" w:type="dxa"/>
            <w:gridSpan w:val="2"/>
            <w:tcBorders>
              <w:bottom w:val="single" w:color="000000" w:sz="4" w:space="0"/>
              <w:right w:val="single" w:color="000000" w:sz="4" w:space="0"/>
            </w:tcBorders>
            <w:noWrap w:val="0"/>
            <w:vAlign w:val="bottom"/>
          </w:tcPr>
          <w:p w14:paraId="2B8CB29C">
            <w:pPr>
              <w:widowControl/>
              <w:jc w:val="left"/>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　</w:t>
            </w:r>
          </w:p>
        </w:tc>
        <w:tc>
          <w:tcPr>
            <w:tcW w:w="2015" w:type="dxa"/>
            <w:tcBorders>
              <w:bottom w:val="single" w:color="000000" w:sz="4" w:space="0"/>
              <w:right w:val="single" w:color="000000" w:sz="4" w:space="0"/>
            </w:tcBorders>
            <w:noWrap w:val="0"/>
            <w:vAlign w:val="bottom"/>
          </w:tcPr>
          <w:p w14:paraId="7A8AE026">
            <w:pPr>
              <w:widowControl/>
              <w:jc w:val="left"/>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　</w:t>
            </w:r>
          </w:p>
        </w:tc>
        <w:tc>
          <w:tcPr>
            <w:tcW w:w="1668" w:type="dxa"/>
            <w:tcBorders>
              <w:bottom w:val="single" w:color="000000" w:sz="4" w:space="0"/>
              <w:right w:val="single" w:color="000000" w:sz="4" w:space="0"/>
            </w:tcBorders>
            <w:noWrap w:val="0"/>
            <w:vAlign w:val="bottom"/>
          </w:tcPr>
          <w:p w14:paraId="26A47C8A">
            <w:pPr>
              <w:widowControl/>
              <w:jc w:val="left"/>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　</w:t>
            </w:r>
          </w:p>
        </w:tc>
        <w:tc>
          <w:tcPr>
            <w:tcW w:w="2366" w:type="dxa"/>
            <w:gridSpan w:val="2"/>
            <w:tcBorders>
              <w:top w:val="single" w:color="000000" w:sz="4" w:space="0"/>
              <w:bottom w:val="single" w:color="000000" w:sz="4" w:space="0"/>
              <w:right w:val="single" w:color="000000" w:sz="4" w:space="0"/>
            </w:tcBorders>
            <w:noWrap w:val="0"/>
            <w:vAlign w:val="bottom"/>
          </w:tcPr>
          <w:p w14:paraId="724A0689">
            <w:pPr>
              <w:widowControl/>
              <w:jc w:val="center"/>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　</w:t>
            </w:r>
          </w:p>
        </w:tc>
      </w:tr>
      <w:tr w14:paraId="701B11E1">
        <w:tblPrEx>
          <w:tblCellMar>
            <w:top w:w="0" w:type="dxa"/>
            <w:left w:w="108" w:type="dxa"/>
            <w:bottom w:w="0" w:type="dxa"/>
            <w:right w:w="108" w:type="dxa"/>
          </w:tblCellMar>
        </w:tblPrEx>
        <w:trPr>
          <w:trHeight w:val="919" w:hRule="atLeast"/>
          <w:jc w:val="center"/>
        </w:trPr>
        <w:tc>
          <w:tcPr>
            <w:tcW w:w="1784" w:type="dxa"/>
            <w:gridSpan w:val="2"/>
            <w:tcBorders>
              <w:top w:val="single" w:color="000000" w:sz="4" w:space="0"/>
              <w:left w:val="single" w:color="000000" w:sz="4" w:space="0"/>
              <w:bottom w:val="single" w:color="000000" w:sz="4" w:space="0"/>
              <w:right w:val="single" w:color="000000" w:sz="4" w:space="0"/>
            </w:tcBorders>
            <w:noWrap w:val="0"/>
            <w:vAlign w:val="center"/>
          </w:tcPr>
          <w:p w14:paraId="1F2FE0A3">
            <w:pPr>
              <w:widowControl/>
              <w:jc w:val="center"/>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县住建局股室意见</w:t>
            </w:r>
          </w:p>
        </w:tc>
        <w:tc>
          <w:tcPr>
            <w:tcW w:w="7353" w:type="dxa"/>
            <w:gridSpan w:val="6"/>
            <w:tcBorders>
              <w:top w:val="single" w:color="000000" w:sz="4" w:space="0"/>
              <w:bottom w:val="single" w:color="000000" w:sz="4" w:space="0"/>
              <w:right w:val="single" w:color="000000" w:sz="4" w:space="0"/>
            </w:tcBorders>
            <w:noWrap w:val="0"/>
            <w:vAlign w:val="bottom"/>
          </w:tcPr>
          <w:p w14:paraId="2D7F4840">
            <w:pPr>
              <w:widowControl/>
              <w:jc w:val="center"/>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　</w:t>
            </w:r>
          </w:p>
        </w:tc>
      </w:tr>
      <w:tr w14:paraId="7389ED80">
        <w:tblPrEx>
          <w:tblCellMar>
            <w:top w:w="0" w:type="dxa"/>
            <w:left w:w="108" w:type="dxa"/>
            <w:bottom w:w="0" w:type="dxa"/>
            <w:right w:w="108" w:type="dxa"/>
          </w:tblCellMar>
        </w:tblPrEx>
        <w:trPr>
          <w:trHeight w:val="919" w:hRule="atLeast"/>
          <w:jc w:val="center"/>
        </w:trPr>
        <w:tc>
          <w:tcPr>
            <w:tcW w:w="1784" w:type="dxa"/>
            <w:gridSpan w:val="2"/>
            <w:tcBorders>
              <w:top w:val="single" w:color="000000" w:sz="4" w:space="0"/>
              <w:left w:val="single" w:color="000000" w:sz="4" w:space="0"/>
              <w:bottom w:val="single" w:color="000000" w:sz="4" w:space="0"/>
              <w:right w:val="single" w:color="000000" w:sz="4" w:space="0"/>
            </w:tcBorders>
            <w:noWrap w:val="0"/>
            <w:vAlign w:val="center"/>
          </w:tcPr>
          <w:p w14:paraId="36647103">
            <w:pPr>
              <w:widowControl/>
              <w:jc w:val="center"/>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县住建局分管领导意见</w:t>
            </w:r>
          </w:p>
        </w:tc>
        <w:tc>
          <w:tcPr>
            <w:tcW w:w="7353" w:type="dxa"/>
            <w:gridSpan w:val="6"/>
            <w:tcBorders>
              <w:top w:val="single" w:color="000000" w:sz="4" w:space="0"/>
              <w:bottom w:val="single" w:color="000000" w:sz="4" w:space="0"/>
              <w:right w:val="single" w:color="000000" w:sz="4" w:space="0"/>
            </w:tcBorders>
            <w:noWrap w:val="0"/>
            <w:vAlign w:val="bottom"/>
          </w:tcPr>
          <w:p w14:paraId="0B8C005E">
            <w:pPr>
              <w:widowControl/>
              <w:snapToGrid w:val="0"/>
              <w:jc w:val="center"/>
              <w:rPr>
                <w:rFonts w:hint="eastAsia" w:ascii="仿宋_GB2312" w:hAnsi="仿宋_GB2312" w:eastAsia="仿宋_GB2312" w:cs="仿宋_GB2312"/>
                <w:kern w:val="0"/>
                <w:sz w:val="28"/>
                <w:szCs w:val="28"/>
              </w:rPr>
            </w:pPr>
          </w:p>
        </w:tc>
      </w:tr>
      <w:tr w14:paraId="60EADE5E">
        <w:tblPrEx>
          <w:tblCellMar>
            <w:top w:w="0" w:type="dxa"/>
            <w:left w:w="108" w:type="dxa"/>
            <w:bottom w:w="0" w:type="dxa"/>
            <w:right w:w="108" w:type="dxa"/>
          </w:tblCellMar>
        </w:tblPrEx>
        <w:trPr>
          <w:trHeight w:val="919" w:hRule="atLeast"/>
          <w:jc w:val="center"/>
        </w:trPr>
        <w:tc>
          <w:tcPr>
            <w:tcW w:w="1784" w:type="dxa"/>
            <w:gridSpan w:val="2"/>
            <w:tcBorders>
              <w:top w:val="single" w:color="000000" w:sz="4" w:space="0"/>
              <w:left w:val="single" w:color="000000" w:sz="4" w:space="0"/>
              <w:bottom w:val="single" w:color="000000" w:sz="4" w:space="0"/>
              <w:right w:val="single" w:color="000000" w:sz="4" w:space="0"/>
            </w:tcBorders>
            <w:noWrap w:val="0"/>
            <w:vAlign w:val="center"/>
          </w:tcPr>
          <w:p w14:paraId="3A5200D3">
            <w:pPr>
              <w:widowControl/>
              <w:jc w:val="center"/>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县住建局主要领导意见</w:t>
            </w:r>
          </w:p>
        </w:tc>
        <w:tc>
          <w:tcPr>
            <w:tcW w:w="7353" w:type="dxa"/>
            <w:gridSpan w:val="6"/>
            <w:tcBorders>
              <w:top w:val="single" w:color="000000" w:sz="4" w:space="0"/>
              <w:bottom w:val="single" w:color="000000" w:sz="4" w:space="0"/>
              <w:right w:val="single" w:color="000000" w:sz="4" w:space="0"/>
            </w:tcBorders>
            <w:noWrap w:val="0"/>
            <w:vAlign w:val="bottom"/>
          </w:tcPr>
          <w:p w14:paraId="085D0956">
            <w:pPr>
              <w:widowControl/>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　</w:t>
            </w:r>
          </w:p>
          <w:p w14:paraId="74A787A6">
            <w:pPr>
              <w:widowControl/>
              <w:jc w:val="center"/>
              <w:rPr>
                <w:rFonts w:hint="eastAsia" w:ascii="仿宋_GB2312" w:hAnsi="仿宋_GB2312" w:eastAsia="仿宋_GB2312" w:cs="仿宋_GB2312"/>
                <w:kern w:val="0"/>
                <w:sz w:val="28"/>
                <w:szCs w:val="28"/>
              </w:rPr>
            </w:pPr>
          </w:p>
        </w:tc>
      </w:tr>
      <w:tr w14:paraId="725A256C">
        <w:tblPrEx>
          <w:tblCellMar>
            <w:top w:w="0" w:type="dxa"/>
            <w:left w:w="108" w:type="dxa"/>
            <w:bottom w:w="0" w:type="dxa"/>
            <w:right w:w="108" w:type="dxa"/>
          </w:tblCellMar>
        </w:tblPrEx>
        <w:trPr>
          <w:trHeight w:val="919" w:hRule="atLeast"/>
          <w:jc w:val="center"/>
        </w:trPr>
        <w:tc>
          <w:tcPr>
            <w:tcW w:w="1784" w:type="dxa"/>
            <w:gridSpan w:val="2"/>
            <w:tcBorders>
              <w:top w:val="single" w:color="000000" w:sz="4" w:space="0"/>
              <w:left w:val="single" w:color="000000" w:sz="4" w:space="0"/>
              <w:bottom w:val="single" w:color="000000" w:sz="4" w:space="0"/>
              <w:right w:val="single" w:color="000000" w:sz="4" w:space="0"/>
            </w:tcBorders>
            <w:noWrap w:val="0"/>
            <w:vAlign w:val="center"/>
          </w:tcPr>
          <w:p w14:paraId="1411C27F">
            <w:pPr>
              <w:widowControl/>
              <w:jc w:val="center"/>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县政府办领导意见</w:t>
            </w:r>
          </w:p>
        </w:tc>
        <w:tc>
          <w:tcPr>
            <w:tcW w:w="7353" w:type="dxa"/>
            <w:gridSpan w:val="6"/>
            <w:tcBorders>
              <w:top w:val="single" w:color="000000" w:sz="4" w:space="0"/>
              <w:bottom w:val="single" w:color="000000" w:sz="4" w:space="0"/>
              <w:right w:val="single" w:color="000000" w:sz="4" w:space="0"/>
            </w:tcBorders>
            <w:noWrap w:val="0"/>
            <w:vAlign w:val="bottom"/>
          </w:tcPr>
          <w:p w14:paraId="71E044BB">
            <w:pPr>
              <w:widowControl/>
              <w:jc w:val="center"/>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　</w:t>
            </w:r>
          </w:p>
        </w:tc>
      </w:tr>
      <w:tr w14:paraId="3AA3BACC">
        <w:tblPrEx>
          <w:tblCellMar>
            <w:top w:w="0" w:type="dxa"/>
            <w:left w:w="108" w:type="dxa"/>
            <w:bottom w:w="0" w:type="dxa"/>
            <w:right w:w="108" w:type="dxa"/>
          </w:tblCellMar>
        </w:tblPrEx>
        <w:trPr>
          <w:trHeight w:val="919" w:hRule="atLeast"/>
          <w:jc w:val="center"/>
        </w:trPr>
        <w:tc>
          <w:tcPr>
            <w:tcW w:w="1784" w:type="dxa"/>
            <w:gridSpan w:val="2"/>
            <w:tcBorders>
              <w:top w:val="single" w:color="000000" w:sz="4" w:space="0"/>
              <w:left w:val="single" w:color="000000" w:sz="4" w:space="0"/>
              <w:bottom w:val="single" w:color="000000" w:sz="4" w:space="0"/>
              <w:right w:val="single" w:color="000000" w:sz="4" w:space="0"/>
            </w:tcBorders>
            <w:noWrap w:val="0"/>
            <w:vAlign w:val="center"/>
          </w:tcPr>
          <w:p w14:paraId="25F1C913">
            <w:pPr>
              <w:widowControl/>
              <w:jc w:val="center"/>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县政府领导</w:t>
            </w:r>
          </w:p>
          <w:p w14:paraId="7A9BF24A">
            <w:pPr>
              <w:widowControl/>
              <w:jc w:val="center"/>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意见</w:t>
            </w:r>
          </w:p>
        </w:tc>
        <w:tc>
          <w:tcPr>
            <w:tcW w:w="7353" w:type="dxa"/>
            <w:gridSpan w:val="6"/>
            <w:tcBorders>
              <w:top w:val="single" w:color="000000" w:sz="4" w:space="0"/>
              <w:bottom w:val="single" w:color="000000" w:sz="4" w:space="0"/>
              <w:right w:val="single" w:color="000000" w:sz="4" w:space="0"/>
            </w:tcBorders>
            <w:noWrap w:val="0"/>
            <w:vAlign w:val="bottom"/>
          </w:tcPr>
          <w:p w14:paraId="0C1A56E4">
            <w:pPr>
              <w:widowControl/>
              <w:jc w:val="center"/>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　</w:t>
            </w:r>
          </w:p>
        </w:tc>
      </w:tr>
      <w:tr w14:paraId="30E6148B">
        <w:tblPrEx>
          <w:tblCellMar>
            <w:top w:w="0" w:type="dxa"/>
            <w:left w:w="108" w:type="dxa"/>
            <w:bottom w:w="0" w:type="dxa"/>
            <w:right w:w="108" w:type="dxa"/>
          </w:tblCellMar>
        </w:tblPrEx>
        <w:trPr>
          <w:gridAfter w:val="1"/>
          <w:wAfter w:w="6" w:type="dxa"/>
          <w:trHeight w:val="518" w:hRule="atLeast"/>
          <w:jc w:val="center"/>
        </w:trPr>
        <w:tc>
          <w:tcPr>
            <w:tcW w:w="9131" w:type="dxa"/>
            <w:gridSpan w:val="7"/>
            <w:tcBorders>
              <w:top w:val="single" w:color="000000" w:sz="4" w:space="0"/>
            </w:tcBorders>
            <w:noWrap w:val="0"/>
            <w:vAlign w:val="top"/>
          </w:tcPr>
          <w:p w14:paraId="07B2D685">
            <w:pPr>
              <w:widowControl/>
              <w:ind w:firstLine="400"/>
              <w:jc w:val="left"/>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注：按规定程序报批后方可减免相应的配套费，并发放建设工程规划许可证和建设工程施工许可证。（</w:t>
            </w:r>
            <w:r>
              <w:rPr>
                <w:rFonts w:hint="eastAsia" w:ascii="仿宋_GB2312" w:hAnsi="仿宋_GB2312" w:eastAsia="仿宋_GB2312" w:cs="仿宋_GB2312"/>
                <w:b/>
                <w:kern w:val="0"/>
                <w:sz w:val="28"/>
                <w:szCs w:val="28"/>
              </w:rPr>
              <w:t>序号1及序号2的内容由建设单位填写</w:t>
            </w:r>
            <w:r>
              <w:rPr>
                <w:rFonts w:hint="eastAsia" w:ascii="仿宋_GB2312" w:hAnsi="仿宋_GB2312" w:eastAsia="仿宋_GB2312" w:cs="仿宋_GB2312"/>
                <w:kern w:val="0"/>
                <w:sz w:val="28"/>
                <w:szCs w:val="28"/>
              </w:rPr>
              <w:t>）</w:t>
            </w:r>
          </w:p>
        </w:tc>
      </w:tr>
    </w:tbl>
    <w:p w14:paraId="5CBAD2D4">
      <w:pPr>
        <w:tabs>
          <w:tab w:val="left" w:pos="7584"/>
        </w:tabs>
        <w:spacing w:line="520" w:lineRule="exact"/>
        <w:jc w:val="center"/>
        <w:rPr>
          <w:rFonts w:ascii="仿宋_GB2312" w:hAnsi="仿宋_GB2312" w:eastAsia="仿宋_GB2312" w:cs="仿宋_GB2312"/>
          <w:kern w:val="0"/>
          <w:sz w:val="28"/>
          <w:szCs w:val="28"/>
        </w:rPr>
        <w:sectPr>
          <w:pgSz w:w="11906" w:h="16838"/>
          <w:pgMar w:top="1418" w:right="1418" w:bottom="1418" w:left="1418" w:header="0" w:footer="1021" w:gutter="0"/>
          <w:pgNumType w:start="11"/>
          <w:cols w:space="720" w:num="1"/>
          <w:docGrid w:linePitch="312" w:charSpace="0"/>
        </w:sectPr>
      </w:pPr>
    </w:p>
    <w:p w14:paraId="2EED8D00"/>
    <w:sectPr>
      <w:pgSz w:w="11906" w:h="16838"/>
      <w:pgMar w:top="1440" w:right="1803" w:bottom="1440" w:left="1803" w:header="851" w:footer="992" w:gutter="0"/>
      <w:pgNumType w:fmt="decimal"/>
      <w:cols w:space="0" w:num="1"/>
      <w:rtlGutter w:val="0"/>
      <w:docGrid w:type="lines" w:linePitch="43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F"/>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A39FDC3-CB48-4C4C-81A7-ACCB49B2040C}"/>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7BEF892E-5BE2-4C6E-B91E-42713F474725}"/>
  </w:font>
  <w:font w:name="华文中宋">
    <w:altName w:val="宋体"/>
    <w:panose1 w:val="02010600040101010101"/>
    <w:charset w:val="86"/>
    <w:family w:val="auto"/>
    <w:pitch w:val="default"/>
    <w:sig w:usb0="00000000" w:usb1="00000000" w:usb2="00000000" w:usb3="00000000" w:csb0="0004009F" w:csb1="DFD70000"/>
    <w:embedRegular r:id="rId3" w:fontKey="{E38F081B-9692-4DD5-94D0-00A046134F98}"/>
  </w:font>
  <w:font w:name="方正小标宋简体">
    <w:panose1 w:val="02000000000000000000"/>
    <w:charset w:val="86"/>
    <w:family w:val="auto"/>
    <w:pitch w:val="default"/>
    <w:sig w:usb0="00000001" w:usb1="08000000" w:usb2="00000000" w:usb3="00000000" w:csb0="00040000" w:csb1="00000000"/>
    <w:embedRegular r:id="rId4" w:fontKey="{6593F810-798C-4D2B-A6D1-B4E64BE97CB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7E19F">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C25837">
                          <w:pPr>
                            <w:pStyle w:val="3"/>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DC25837">
                    <w:pPr>
                      <w:pStyle w:val="3"/>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B773DD">
    <w:pPr>
      <w:pStyle w:val="4"/>
      <w:pBdr>
        <w:bottom w:val="none" w:color="auto" w:sz="0" w:space="1"/>
      </w:pBdr>
    </w:pPr>
  </w:p>
  <w:p w14:paraId="4A44E031">
    <w:pPr>
      <w:pStyle w:val="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D6DEEB"/>
    <w:multiLevelType w:val="singleLevel"/>
    <w:tmpl w:val="1FD6DEEB"/>
    <w:lvl w:ilvl="0" w:tentative="0">
      <w:start w:val="2"/>
      <w:numFmt w:val="chineseCounting"/>
      <w:suff w:val="nothing"/>
      <w:lvlText w:val="%1、"/>
      <w:lvlJc w:val="left"/>
      <w:pPr>
        <w:ind w:left="1589" w:leftChars="0" w:firstLine="0" w:firstLineChars="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VhODZhYzQ2NDdkZDM1MzExYjg1ZThhMzA0OWRiNDQifQ=="/>
  </w:docVars>
  <w:rsids>
    <w:rsidRoot w:val="61EC7342"/>
    <w:rsid w:val="03E03184"/>
    <w:rsid w:val="07FD35C1"/>
    <w:rsid w:val="1D8B70A9"/>
    <w:rsid w:val="20FD3E2F"/>
    <w:rsid w:val="21CB55FC"/>
    <w:rsid w:val="25FF2C68"/>
    <w:rsid w:val="27DC2D9B"/>
    <w:rsid w:val="34184C22"/>
    <w:rsid w:val="36A07958"/>
    <w:rsid w:val="3BA9200A"/>
    <w:rsid w:val="450B6ED0"/>
    <w:rsid w:val="4DC73706"/>
    <w:rsid w:val="5D8D480A"/>
    <w:rsid w:val="5E155034"/>
    <w:rsid w:val="5F2C2EEB"/>
    <w:rsid w:val="61EC7342"/>
    <w:rsid w:val="63FA57E9"/>
    <w:rsid w:val="65D85DE2"/>
    <w:rsid w:val="6E443E9C"/>
    <w:rsid w:val="6EF52F0A"/>
    <w:rsid w:val="758E6DF9"/>
    <w:rsid w:val="76A338EC"/>
    <w:rsid w:val="7C9E2E3E"/>
    <w:rsid w:val="FEAFD80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jc w:val="both"/>
    </w:pPr>
    <w:rPr>
      <w:rFonts w:ascii="宋体" w:hAnsi="宋体" w:eastAsia="仿宋_GB2312" w:cs="宋体"/>
      <w:kern w:val="2"/>
      <w:sz w:val="31"/>
      <w:szCs w:val="31"/>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paragraph" w:customStyle="1" w:styleId="10">
    <w:name w:val="段"/>
    <w:next w:val="1"/>
    <w:qFormat/>
    <w:uiPriority w:val="0"/>
    <w:pPr>
      <w:autoSpaceDE w:val="0"/>
      <w:autoSpaceDN w:val="0"/>
      <w:ind w:firstLine="200" w:firstLineChars="200"/>
      <w:jc w:val="both"/>
    </w:pPr>
    <w:rPr>
      <w:rFonts w:ascii="宋体" w:hAnsi="Calibri"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1788</Words>
  <Characters>1815</Characters>
  <Lines>0</Lines>
  <Paragraphs>0</Paragraphs>
  <TotalTime>10</TotalTime>
  <ScaleCrop>false</ScaleCrop>
  <LinksUpToDate>false</LinksUpToDate>
  <CharactersWithSpaces>1886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2021-09-22T15:22:00Z</dcterms:created>
  <dc:creator>黄绪仁</dc:creator>
  <cp:lastModifiedBy>炆炝</cp:lastModifiedBy>
  <cp:lastPrinted>2021-09-22T21:21:00Z</cp:lastPrinted>
  <dcterms:modified xsi:type="dcterms:W3CDTF">2026-09-21T07:34:31Z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8581EAE7D20845718120803BB233C0AE_13</vt:lpwstr>
  </property>
  <property fmtid="{D5CDD505-2E9C-101B-9397-08002B2CF9AE}" pid="4" name="KSOTemplateDocerSaveRecord">
    <vt:lpwstr>eyJoZGlkIjoiM2VhODZhYzQ2NDdkZDM1MzExYjg1ZThhMzA0OWRiNDQiLCJ1c2VySWQiOiI0MTgzOTIwMTEifQ==</vt:lpwstr>
  </property>
</Properties>
</file>