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D25DD">
      <w:pPr>
        <w:spacing w:line="480" w:lineRule="auto"/>
        <w:rPr>
          <w:rFonts w:hint="eastAsia"/>
        </w:rPr>
      </w:pPr>
    </w:p>
    <w:p w14:paraId="09FB1FDC">
      <w:pPr>
        <w:spacing w:line="480" w:lineRule="auto"/>
        <w:rPr>
          <w:rFonts w:hint="eastAsia"/>
        </w:rPr>
      </w:pPr>
    </w:p>
    <w:p w14:paraId="54C97DDC">
      <w:pPr>
        <w:spacing w:line="480" w:lineRule="auto"/>
        <w:rPr>
          <w:rFonts w:hint="eastAsia"/>
        </w:rPr>
      </w:pPr>
    </w:p>
    <w:p w14:paraId="25A19B04">
      <w:pPr>
        <w:spacing w:line="480" w:lineRule="auto"/>
        <w:rPr>
          <w:rFonts w:hint="eastAsia"/>
        </w:rPr>
      </w:pPr>
    </w:p>
    <w:p w14:paraId="1BCC0732">
      <w:pPr>
        <w:rPr>
          <w:rFonts w:hint="eastAsia" w:ascii="方正大标宋简体" w:eastAsia="方正大标宋简体"/>
          <w:color w:val="FF0000"/>
          <w:w w:val="80"/>
          <w:sz w:val="100"/>
          <w:szCs w:val="100"/>
        </w:rPr>
      </w:pPr>
      <w:r>
        <w:rPr>
          <w:rFonts w:hint="eastAsia" w:ascii="方正大标宋简体" w:eastAsia="方正大标宋简体"/>
          <w:color w:val="FF0000"/>
          <w:w w:val="80"/>
          <w:sz w:val="100"/>
          <w:szCs w:val="100"/>
        </w:rPr>
        <w:t>中国共产党清流县委员会</w:t>
      </w:r>
    </w:p>
    <w:p w14:paraId="36A9A416">
      <w:pPr>
        <w:rPr>
          <w:rFonts w:hint="eastAsia"/>
        </w:rPr>
      </w:pPr>
    </w:p>
    <w:p w14:paraId="570E0A40">
      <w:pPr>
        <w:ind w:firstLine="360" w:firstLineChars="100"/>
        <w:jc w:val="both"/>
        <w:rPr>
          <w:rFonts w:hint="default" w:ascii="方正仿宋简体" w:eastAsia="方正仿宋简体"/>
          <w:sz w:val="36"/>
          <w:szCs w:val="36"/>
          <w:lang w:val="en-US" w:eastAsia="zh-CN"/>
        </w:rPr>
      </w:pPr>
      <w:r>
        <w:rPr>
          <w:rFonts w:hint="eastAsia" w:ascii="方正仿宋简体" w:eastAsia="方正仿宋简体"/>
          <w:sz w:val="36"/>
          <w:szCs w:val="36"/>
        </w:rPr>
        <w:t>清委〔202</w:t>
      </w:r>
      <w:r>
        <w:rPr>
          <w:rFonts w:hint="eastAsia" w:ascii="方正仿宋简体" w:eastAsia="方正仿宋简体"/>
          <w:sz w:val="36"/>
          <w:szCs w:val="36"/>
          <w:lang w:val="en-US" w:eastAsia="zh-CN"/>
        </w:rPr>
        <w:t>6</w:t>
      </w:r>
      <w:r>
        <w:rPr>
          <w:rFonts w:hint="eastAsia" w:ascii="方正仿宋简体" w:eastAsia="方正仿宋简体"/>
          <w:sz w:val="36"/>
          <w:szCs w:val="36"/>
        </w:rPr>
        <w:t>〕9号</w:t>
      </w:r>
      <w:r>
        <w:rPr>
          <w:rFonts w:hint="eastAsia" w:ascii="方正仿宋简体" w:eastAsia="方正仿宋简体"/>
          <w:sz w:val="36"/>
          <w:szCs w:val="36"/>
          <w:lang w:val="en-US" w:eastAsia="zh-CN"/>
        </w:rPr>
        <w:t xml:space="preserve">         </w:t>
      </w:r>
      <w:r>
        <w:rPr>
          <w:rFonts w:hint="eastAsia" w:ascii="仿宋_GB2312" w:hAnsi="仿宋_GB2312" w:eastAsia="仿宋_GB2312" w:cs="仿宋_GB2312"/>
          <w:sz w:val="36"/>
          <w:szCs w:val="36"/>
        </w:rPr>
        <w:t>签发人：</w:t>
      </w:r>
      <w:r>
        <w:rPr>
          <w:rFonts w:hint="eastAsia" w:ascii="楷体" w:hAnsi="楷体" w:eastAsia="楷体" w:cs="楷体"/>
          <w:sz w:val="36"/>
          <w:szCs w:val="36"/>
        </w:rPr>
        <w:t>吴钟民  莫彩华</w:t>
      </w:r>
    </w:p>
    <w:p w14:paraId="37FF8554">
      <w:pPr>
        <w:rPr>
          <w:rFonts w:hint="eastAsia"/>
        </w:rPr>
      </w:pPr>
    </w:p>
    <w:p w14:paraId="3C73D94B">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-49530</wp:posOffset>
                </wp:positionV>
                <wp:extent cx="58293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9pt;height:0pt;width:459pt;z-index:251659264;mso-width-relative:page;mso-height-relative:page;" filled="f" stroked="t" coordsize="21600,21600" o:gfxdata="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X64ZDVAAAABgEAAA8AAAAAAAAAAQAgAAAAIgAAAGRycy9kb3ducmV2LnhtbFBLAQIU&#10;ABQAAAAIAIdO4kB1FDES9gEAAOUDAAAOAAAAAAAAAAEAIAAAACQBAABkcnMvZTJvRG9jLnhtbFBL&#10;BQYAAAAABgAGAFkBAACMBQAAAAA=&#10;">
                <v:fill on="f" focussize="0,0"/>
                <v:stroke weight="1.5pt" color="#FF0000" joinstyle="round"/>
                <v:imagedata o:title=""/>
                <o:lock v:ext="edit" aspectratio="f"/>
              </v:line>
            </w:pict>
          </mc:Fallback>
        </mc:AlternateContent>
      </w:r>
      <w:r>
        <w:rPr>
          <w:rFonts w:hint="eastAsia"/>
        </w:rPr>
        <w:t>　　　　　</w:t>
      </w:r>
    </w:p>
    <w:p w14:paraId="17D1EC33">
      <w:pPr>
        <w:keepNext w:val="0"/>
        <w:keepLines w:val="0"/>
        <w:pageBreakBefore w:val="0"/>
        <w:kinsoku/>
        <w:wordWrap/>
        <w:overflowPunct/>
        <w:topLinePunct w:val="0"/>
        <w:autoSpaceDN/>
        <w:bidi w:val="0"/>
        <w:adjustRightIn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中共清流县委   清流县人民政府</w:t>
      </w:r>
    </w:p>
    <w:p w14:paraId="33005833">
      <w:pPr>
        <w:keepNext w:val="0"/>
        <w:keepLines w:val="0"/>
        <w:pageBreakBefore w:val="0"/>
        <w:kinsoku/>
        <w:wordWrap/>
        <w:overflowPunct/>
        <w:topLinePunct w:val="0"/>
        <w:autoSpaceDN/>
        <w:bidi w:val="0"/>
        <w:adjustRightIn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关于清流县202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eastAsia="zh-CN"/>
        </w:rPr>
        <w:t>情况的报告</w:t>
      </w:r>
    </w:p>
    <w:p w14:paraId="435C29A8">
      <w:pPr>
        <w:spacing w:line="560" w:lineRule="exact"/>
        <w:jc w:val="left"/>
        <w:rPr>
          <w:rFonts w:ascii="仿宋_GB2312" w:hAnsi="仿宋_GB2312" w:eastAsia="仿宋_GB2312" w:cs="仿宋_GB2312"/>
          <w:sz w:val="32"/>
          <w:szCs w:val="32"/>
        </w:rPr>
      </w:pPr>
    </w:p>
    <w:p w14:paraId="12A6F5B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中共三明市委、三明市人民政府：</w:t>
      </w:r>
    </w:p>
    <w:p w14:paraId="0CA97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2025年，清流县深入践行习近平法治思想，</w:t>
      </w:r>
      <w:r>
        <w:rPr>
          <w:rFonts w:hint="eastAsia" w:ascii="仿宋_GB2312" w:hAnsi="仿宋_GB2312" w:eastAsia="仿宋_GB2312" w:cs="仿宋_GB2312"/>
          <w:sz w:val="32"/>
          <w:szCs w:val="32"/>
        </w:rPr>
        <w:t>依法行政体制机制进一步完善，政府各项工作法治化、规范化水平进一步提升，</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法治政府建设</w:t>
      </w:r>
      <w:r>
        <w:rPr>
          <w:rFonts w:hint="eastAsia" w:ascii="仿宋_GB2312" w:hAnsi="仿宋_GB2312" w:eastAsia="仿宋_GB2312" w:cs="仿宋_GB2312"/>
          <w:sz w:val="32"/>
          <w:szCs w:val="32"/>
          <w:lang w:eastAsia="zh-CN"/>
        </w:rPr>
        <w:t>全面深化、提质增效</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如下：</w:t>
      </w:r>
    </w:p>
    <w:p w14:paraId="3CAF294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rPr>
        <w:t>一、</w:t>
      </w:r>
      <w:r>
        <w:rPr>
          <w:rFonts w:hint="eastAsia" w:ascii="黑体" w:hAnsi="黑体" w:eastAsia="黑体" w:cs="黑体"/>
          <w:sz w:val="32"/>
          <w:szCs w:val="32"/>
          <w:lang w:val="en-US" w:eastAsia="zh-CN"/>
        </w:rPr>
        <w:t>2025年度推进法治政府建设的主要举措和成效</w:t>
      </w:r>
    </w:p>
    <w:p w14:paraId="27E99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清流</w:t>
      </w:r>
      <w:r>
        <w:rPr>
          <w:rFonts w:hint="eastAsia" w:ascii="仿宋_GB2312" w:hAnsi="仿宋_GB2312" w:eastAsia="仿宋_GB2312" w:cs="仿宋_GB2312"/>
          <w:sz w:val="32"/>
          <w:szCs w:val="32"/>
        </w:rPr>
        <w:t>县坚持以习近平新时代中国特色社会主义思想为指导，全面贯彻落实党的二十大、二十届历次全会精神，深入践行习近平法治思想，纵深推进法治政府建设取得新成效。</w:t>
      </w:r>
    </w:p>
    <w:p w14:paraId="069D04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kern w:val="2"/>
          <w:sz w:val="32"/>
          <w:szCs w:val="32"/>
          <w:lang w:val="en-US" w:eastAsia="zh-CN" w:bidi="ar-SA"/>
        </w:rPr>
        <w:t>（一）注重政治引领，持续夯实法治建设根基。</w:t>
      </w:r>
      <w:r>
        <w:rPr>
          <w:rFonts w:hint="eastAsia" w:ascii="仿宋_GB2312" w:hAnsi="仿宋_GB2312" w:eastAsia="仿宋_GB2312" w:cs="仿宋_GB2312"/>
          <w:b/>
          <w:bCs/>
          <w:sz w:val="32"/>
          <w:szCs w:val="32"/>
          <w:highlight w:val="none"/>
          <w:lang w:eastAsia="zh-CN"/>
        </w:rPr>
        <w:t>一是筑牢</w:t>
      </w:r>
      <w:r>
        <w:rPr>
          <w:rFonts w:hint="eastAsia" w:ascii="仿宋_GB2312" w:hAnsi="仿宋_GB2312" w:eastAsia="仿宋_GB2312" w:cs="仿宋_GB2312"/>
          <w:b/>
          <w:bCs/>
          <w:sz w:val="32"/>
          <w:szCs w:val="32"/>
          <w:highlight w:val="none"/>
          <w:lang w:val="en-US" w:eastAsia="zh-CN"/>
        </w:rPr>
        <w:t>理论基础。</w:t>
      </w:r>
      <w:r>
        <w:rPr>
          <w:rFonts w:hint="eastAsia" w:ascii="仿宋_GB2312" w:hAnsi="仿宋_GB2312" w:eastAsia="仿宋_GB2312" w:cs="仿宋_GB2312"/>
          <w:sz w:val="32"/>
          <w:szCs w:val="32"/>
          <w:lang w:val="en-US" w:eastAsia="zh-CN"/>
        </w:rPr>
        <w:t>将习近平法治思想纳入县委常委会、县政府常务会、专题研讨班以及党委（党组）理论学习中心组必学内容和干部教育培训必修课程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推动全县领导干部学法常态化。</w:t>
      </w:r>
      <w:r>
        <w:rPr>
          <w:rFonts w:hint="eastAsia" w:ascii="仿宋_GB2312" w:hAnsi="仿宋_GB2312" w:eastAsia="仿宋_GB2312" w:cs="仿宋_GB2312"/>
          <w:sz w:val="32"/>
          <w:szCs w:val="32"/>
          <w:lang w:val="en-US" w:eastAsia="zh-CN"/>
        </w:rPr>
        <w:t>县委县政府召开</w:t>
      </w:r>
      <w:r>
        <w:rPr>
          <w:rFonts w:hint="eastAsia" w:ascii="仿宋_GB2312" w:hAnsi="仿宋_GB2312" w:eastAsia="仿宋_GB2312" w:cs="仿宋_GB2312"/>
          <w:sz w:val="32"/>
          <w:szCs w:val="32"/>
          <w:lang w:eastAsia="zh-CN"/>
        </w:rPr>
        <w:t>专题学习</w:t>
      </w:r>
      <w:r>
        <w:rPr>
          <w:rFonts w:hint="eastAsia" w:ascii="仿宋_GB2312" w:hAnsi="仿宋_GB2312" w:eastAsia="仿宋_GB2312" w:cs="仿宋_GB2312"/>
          <w:sz w:val="32"/>
          <w:szCs w:val="32"/>
          <w:lang w:val="en-US" w:eastAsia="zh-CN"/>
        </w:rPr>
        <w:t>研讨会4</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lang w:val="en-US" w:eastAsia="zh-CN"/>
        </w:rPr>
        <w:t>县委</w:t>
      </w:r>
      <w:r>
        <w:rPr>
          <w:rFonts w:hint="eastAsia" w:ascii="仿宋_GB2312" w:hAnsi="仿宋_GB2312" w:eastAsia="仿宋_GB2312" w:cs="仿宋_GB2312"/>
          <w:sz w:val="32"/>
          <w:szCs w:val="32"/>
          <w:lang w:eastAsia="zh-CN"/>
        </w:rPr>
        <w:t>党校</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lang w:val="en-US" w:eastAsia="zh-CN"/>
        </w:rPr>
        <w:t>培训190余人，各部门乡镇召开学习会、法治讲座等80余次，组织领导干部现场旁听庭审</w:t>
      </w:r>
      <w:r>
        <w:rPr>
          <w:rFonts w:hint="eastAsia" w:ascii="仿宋_GB2312" w:hAnsi="仿宋_GB2312" w:eastAsia="仿宋_GB2312" w:cs="仿宋_GB2312"/>
          <w:sz w:val="32"/>
          <w:szCs w:val="32"/>
          <w:lang w:eastAsia="zh-CN"/>
        </w:rPr>
        <w:t>6场次500余人。</w:t>
      </w:r>
      <w:r>
        <w:rPr>
          <w:rFonts w:hint="eastAsia" w:ascii="仿宋_GB2312" w:hAnsi="仿宋_GB2312" w:eastAsia="仿宋_GB2312" w:cs="仿宋_GB2312"/>
          <w:b/>
          <w:bCs/>
          <w:sz w:val="32"/>
          <w:szCs w:val="32"/>
          <w:highlight w:val="none"/>
          <w:lang w:eastAsia="zh-CN"/>
        </w:rPr>
        <w:t>二是压实</w:t>
      </w:r>
      <w:r>
        <w:rPr>
          <w:rFonts w:hint="eastAsia" w:ascii="仿宋_GB2312" w:hAnsi="仿宋_GB2312" w:eastAsia="仿宋_GB2312" w:cs="仿宋_GB2312"/>
          <w:b/>
          <w:bCs/>
          <w:sz w:val="32"/>
          <w:szCs w:val="32"/>
          <w:highlight w:val="none"/>
          <w:lang w:val="en-US" w:eastAsia="zh-CN"/>
        </w:rPr>
        <w:t>主体</w:t>
      </w:r>
      <w:r>
        <w:rPr>
          <w:rFonts w:hint="eastAsia" w:ascii="仿宋_GB2312" w:hAnsi="仿宋_GB2312" w:eastAsia="仿宋_GB2312" w:cs="仿宋_GB2312"/>
          <w:b/>
          <w:bCs/>
          <w:sz w:val="32"/>
          <w:szCs w:val="32"/>
          <w:highlight w:val="none"/>
          <w:lang w:eastAsia="zh-CN"/>
        </w:rPr>
        <w:t>责任。</w:t>
      </w:r>
      <w:r>
        <w:rPr>
          <w:rFonts w:hint="eastAsia" w:ascii="仿宋_GB2312" w:hAnsi="仿宋_GB2312" w:eastAsia="仿宋_GB2312" w:cs="仿宋_GB2312"/>
          <w:sz w:val="32"/>
          <w:szCs w:val="32"/>
          <w:lang w:val="en-US" w:eastAsia="zh-CN"/>
        </w:rPr>
        <w:t>严格履行党政主要负责人履行推进法治建设第一责任人职责，</w:t>
      </w:r>
      <w:r>
        <w:rPr>
          <w:rFonts w:hint="eastAsia" w:ascii="仿宋_GB2312" w:hAnsi="仿宋_GB2312" w:eastAsia="仿宋_GB2312" w:cs="仿宋_GB2312"/>
          <w:sz w:val="32"/>
          <w:szCs w:val="32"/>
          <w:highlight w:val="none"/>
          <w:lang w:val="en-US" w:eastAsia="zh-CN"/>
        </w:rPr>
        <w:t>制发</w:t>
      </w:r>
      <w:r>
        <w:rPr>
          <w:rFonts w:hint="eastAsia" w:ascii="仿宋_GB2312" w:hAnsi="仿宋_GB2312" w:eastAsia="仿宋_GB2312" w:cs="仿宋_GB2312"/>
          <w:sz w:val="32"/>
          <w:szCs w:val="32"/>
          <w:highlight w:val="none"/>
          <w:lang w:eastAsia="zh-CN"/>
        </w:rPr>
        <w:t>《中共清流县委全面依法治县委员会202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年工作要点》，将法治建设深度融入全县发展总体布局，纳入各乡镇各部门年度绩效考评指标体系。</w:t>
      </w:r>
      <w:r>
        <w:rPr>
          <w:rFonts w:hint="eastAsia" w:ascii="仿宋_GB2312" w:hAnsi="仿宋_GB2312" w:eastAsia="仿宋_GB2312" w:cs="仿宋_GB2312"/>
          <w:sz w:val="32"/>
          <w:szCs w:val="32"/>
          <w:highlight w:val="none"/>
          <w:lang w:val="en-US" w:eastAsia="zh-CN"/>
        </w:rPr>
        <w:t>紧扣</w:t>
      </w:r>
      <w:r>
        <w:rPr>
          <w:rFonts w:hint="eastAsia" w:ascii="仿宋_GB2312" w:hAnsi="仿宋_GB2312" w:eastAsia="仿宋_GB2312" w:cs="仿宋_GB2312"/>
          <w:sz w:val="32"/>
          <w:szCs w:val="32"/>
          <w:highlight w:val="none"/>
          <w:lang w:eastAsia="zh-CN"/>
        </w:rPr>
        <w:t>《2025年省委依法治省办法治政府建设督察要点分解方案》，</w:t>
      </w:r>
      <w:r>
        <w:rPr>
          <w:rFonts w:hint="eastAsia" w:ascii="仿宋_GB2312" w:hAnsi="仿宋_GB2312" w:eastAsia="仿宋_GB2312" w:cs="仿宋_GB2312"/>
          <w:sz w:val="32"/>
          <w:szCs w:val="32"/>
          <w:highlight w:val="none"/>
          <w:lang w:val="en-US" w:eastAsia="zh-CN"/>
        </w:rPr>
        <w:t>压实工作责任，推进法治政府建设各项工作落地见效。</w:t>
      </w:r>
      <w:r>
        <w:rPr>
          <w:rFonts w:hint="eastAsia" w:ascii="仿宋_GB2312" w:hAnsi="仿宋_GB2312" w:eastAsia="仿宋_GB2312" w:cs="仿宋_GB2312"/>
          <w:sz w:val="32"/>
          <w:szCs w:val="32"/>
          <w:highlight w:val="none"/>
          <w:lang w:eastAsia="zh-CN"/>
        </w:rPr>
        <w:t>根据机构改革调整述法工作单位，组织13个乡镇、25个部门主要负责人开展述法工作，全面落实述法“应述尽述”。</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bCs/>
          <w:sz w:val="32"/>
          <w:szCs w:val="32"/>
          <w:highlight w:val="none"/>
          <w:lang w:val="en-US" w:eastAsia="zh-CN"/>
        </w:rPr>
        <w:t>注重</w:t>
      </w:r>
      <w:r>
        <w:rPr>
          <w:rFonts w:hint="eastAsia" w:ascii="仿宋_GB2312" w:hAnsi="仿宋_GB2312" w:eastAsia="仿宋_GB2312" w:cs="仿宋_GB2312"/>
          <w:b/>
          <w:bCs/>
          <w:sz w:val="32"/>
          <w:szCs w:val="32"/>
          <w:highlight w:val="none"/>
          <w:lang w:eastAsia="zh-CN"/>
        </w:rPr>
        <w:t>督察问效。</w:t>
      </w:r>
      <w:r>
        <w:rPr>
          <w:rFonts w:hint="eastAsia" w:ascii="仿宋_GB2312" w:hAnsi="仿宋_GB2312" w:eastAsia="仿宋_GB2312" w:cs="仿宋_GB2312"/>
          <w:sz w:val="32"/>
          <w:szCs w:val="32"/>
          <w:highlight w:val="none"/>
          <w:lang w:eastAsia="zh-CN"/>
        </w:rPr>
        <w:t>将法治政府建设与责任落实督查列入《2025年清流县督查检察考核计划》和县委巡察的重要内容，</w:t>
      </w:r>
      <w:r>
        <w:rPr>
          <w:rFonts w:hint="eastAsia" w:ascii="仿宋_GB2312" w:hAnsi="仿宋_GB2312" w:eastAsia="仿宋_GB2312" w:cs="仿宋_GB2312"/>
          <w:sz w:val="32"/>
          <w:szCs w:val="32"/>
          <w:highlight w:val="none"/>
          <w:lang w:val="en-US" w:eastAsia="zh-CN"/>
        </w:rPr>
        <w:t>强化督察结果运用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督促推动乡镇部门主要负责人定期研究、抓实抓好法治政府建设各项任务。结合</w:t>
      </w:r>
      <w:r>
        <w:rPr>
          <w:rFonts w:hint="eastAsia" w:ascii="仿宋_GB2312" w:hAnsi="仿宋_GB2312" w:eastAsia="仿宋_GB2312" w:cs="仿宋_GB2312"/>
          <w:sz w:val="32"/>
          <w:szCs w:val="32"/>
          <w:highlight w:val="none"/>
          <w:lang w:eastAsia="zh-CN"/>
        </w:rPr>
        <w:t>争创全国法治政府建设示范市</w:t>
      </w:r>
      <w:r>
        <w:rPr>
          <w:rFonts w:hint="eastAsia" w:ascii="仿宋_GB2312" w:hAnsi="仿宋_GB2312" w:eastAsia="仿宋_GB2312" w:cs="仿宋_GB2312"/>
          <w:sz w:val="32"/>
          <w:szCs w:val="32"/>
          <w:highlight w:val="none"/>
          <w:lang w:val="en-US" w:eastAsia="zh-CN"/>
        </w:rPr>
        <w:t>和行政执法</w:t>
      </w:r>
      <w:r>
        <w:rPr>
          <w:rFonts w:hint="eastAsia" w:ascii="仿宋_GB2312" w:hAnsi="仿宋_GB2312" w:eastAsia="仿宋_GB2312" w:cs="仿宋_GB2312"/>
          <w:sz w:val="32"/>
          <w:szCs w:val="32"/>
          <w:highlight w:val="none"/>
          <w:lang w:eastAsia="zh-CN"/>
        </w:rPr>
        <w:t>专项整治开展法治督察</w:t>
      </w:r>
      <w:r>
        <w:rPr>
          <w:rFonts w:hint="eastAsia" w:ascii="仿宋_GB2312" w:hAnsi="仿宋_GB2312" w:eastAsia="仿宋_GB2312" w:cs="仿宋_GB2312"/>
          <w:sz w:val="32"/>
          <w:szCs w:val="32"/>
          <w:highlight w:val="none"/>
          <w:lang w:val="en-US" w:eastAsia="zh-CN"/>
        </w:rPr>
        <w:t>4次</w:t>
      </w:r>
      <w:r>
        <w:rPr>
          <w:rFonts w:hint="eastAsia" w:ascii="仿宋_GB2312" w:hAnsi="仿宋_GB2312" w:eastAsia="仿宋_GB2312" w:cs="仿宋_GB2312"/>
          <w:sz w:val="32"/>
          <w:szCs w:val="32"/>
          <w:highlight w:val="none"/>
          <w:lang w:eastAsia="zh-CN"/>
        </w:rPr>
        <w:t>。</w:t>
      </w:r>
    </w:p>
    <w:p w14:paraId="7D1476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bCs/>
          <w:kern w:val="2"/>
          <w:sz w:val="32"/>
          <w:szCs w:val="32"/>
          <w:lang w:val="en-US" w:eastAsia="zh-CN" w:bidi="ar-SA"/>
        </w:rPr>
        <w:t>（二）注重护航发展，持续优化法治营商环境。</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bCs/>
          <w:sz w:val="32"/>
          <w:szCs w:val="32"/>
          <w:highlight w:val="none"/>
          <w:lang w:val="en-US" w:eastAsia="zh-CN"/>
        </w:rPr>
        <w:t>强化为企政务质效</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持续深化“云综窗”服务改革，为企业、群众提供业务咨询及办理服务累计2022件，满意率达100%。深化支持小微企业融资协调工作机制，累计走访企业12516家，发放贷款2710笔13.86亿元。《搭建协同创新平台赋能氟新材料产业高质量发展》入选全国县域营商环境年度创新十大案例，《清流县激活高质量发展“人才引擎”助力氟新产业“加速跑”》《清流县以“信用+智慧”双轮驱动优化营商环境》入选福建省2025年优化营商环境工作典型经验做法。</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bCs/>
          <w:sz w:val="32"/>
          <w:szCs w:val="32"/>
          <w:highlight w:val="none"/>
          <w:lang w:val="en-US" w:eastAsia="zh-CN"/>
        </w:rPr>
        <w:t>强化涉企执法质效</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探索建立涉企行政合规指导机制，</w:t>
      </w:r>
      <w:r>
        <w:rPr>
          <w:rFonts w:hint="eastAsia" w:ascii="仿宋_GB2312" w:hAnsi="仿宋_GB2312" w:eastAsia="仿宋_GB2312" w:cs="仿宋_GB2312"/>
          <w:sz w:val="32"/>
          <w:szCs w:val="32"/>
          <w:highlight w:val="none"/>
          <w:lang w:val="en-US" w:eastAsia="zh-CN"/>
        </w:rPr>
        <w:t>全面推行包容审慎监管执法，持续推进柔性执法“四张清单”落实。全</w:t>
      </w:r>
      <w:r>
        <w:rPr>
          <w:rFonts w:hint="eastAsia" w:ascii="仿宋_GB2312" w:hAnsi="仿宋_GB2312" w:eastAsia="仿宋_GB2312" w:cs="仿宋_GB2312"/>
          <w:sz w:val="32"/>
          <w:szCs w:val="32"/>
          <w:highlight w:val="none"/>
          <w:lang w:eastAsia="zh-CN"/>
        </w:rPr>
        <w:t>县行政处罚案件减轻罚款144.2万元，惠及群众4152人。</w:t>
      </w:r>
      <w:r>
        <w:rPr>
          <w:rFonts w:hint="eastAsia" w:ascii="仿宋_GB2312" w:hAnsi="仿宋_GB2312" w:eastAsia="仿宋_GB2312" w:cs="仿宋_GB2312"/>
          <w:sz w:val="32"/>
          <w:szCs w:val="32"/>
          <w:highlight w:val="none"/>
          <w:lang w:val="en-US" w:eastAsia="zh-CN"/>
        </w:rPr>
        <w:t>持续</w:t>
      </w:r>
      <w:r>
        <w:rPr>
          <w:rFonts w:hint="eastAsia" w:ascii="仿宋_GB2312" w:hAnsi="仿宋_GB2312" w:eastAsia="仿宋_GB2312" w:cs="仿宋_GB2312"/>
          <w:sz w:val="32"/>
          <w:szCs w:val="32"/>
          <w:highlight w:val="none"/>
          <w:lang w:eastAsia="zh-CN"/>
        </w:rPr>
        <w:t>落实“综合查一次”联合执法机制，制定《清流县2025年“综合查一次”场景清单》，清单内涵盖10个执法领域共计17项执法事项，组织13个部门开展联合执法40次，减少检查72次。</w:t>
      </w:r>
      <w:r>
        <w:rPr>
          <w:rFonts w:hint="eastAsia" w:ascii="仿宋_GB2312" w:hAnsi="仿宋_GB2312" w:eastAsia="仿宋_GB2312" w:cs="仿宋_GB2312"/>
          <w:b/>
          <w:bCs/>
          <w:sz w:val="32"/>
          <w:szCs w:val="32"/>
          <w:highlight w:val="none"/>
          <w:lang w:val="en-US" w:eastAsia="zh-CN"/>
        </w:rPr>
        <w:t>三是强化惠企法治质效。</w:t>
      </w:r>
      <w:r>
        <w:rPr>
          <w:rFonts w:hint="eastAsia" w:ascii="仿宋_GB2312" w:hAnsi="仿宋_GB2312" w:eastAsia="仿宋_GB2312" w:cs="仿宋_GB2312"/>
          <w:sz w:val="32"/>
          <w:szCs w:val="32"/>
          <w:highlight w:val="none"/>
          <w:lang w:eastAsia="zh-CN"/>
        </w:rPr>
        <w:t>推深做实公共法律服务“大走访、解难题、优供给”专项</w:t>
      </w:r>
      <w:r>
        <w:rPr>
          <w:rFonts w:hint="eastAsia" w:ascii="仿宋_GB2312" w:hAnsi="仿宋_GB2312" w:eastAsia="仿宋_GB2312" w:cs="仿宋_GB2312"/>
          <w:sz w:val="32"/>
          <w:szCs w:val="32"/>
          <w:highlight w:val="none"/>
          <w:lang w:val="en-US" w:eastAsia="zh-CN"/>
        </w:rPr>
        <w:t>行动</w:t>
      </w:r>
      <w:r>
        <w:rPr>
          <w:rFonts w:hint="eastAsia" w:ascii="仿宋_GB2312" w:hAnsi="仿宋_GB2312" w:eastAsia="仿宋_GB2312" w:cs="仿宋_GB2312"/>
          <w:sz w:val="32"/>
          <w:szCs w:val="32"/>
          <w:highlight w:val="none"/>
          <w:lang w:eastAsia="zh-CN"/>
        </w:rPr>
        <w:t>，为企业提供“法治体检”和法律服务。开展</w:t>
      </w:r>
      <w:r>
        <w:rPr>
          <w:rFonts w:hint="eastAsia" w:ascii="仿宋_GB2312" w:hAnsi="仿宋_GB2312" w:eastAsia="仿宋_GB2312" w:cs="仿宋_GB2312"/>
          <w:sz w:val="32"/>
          <w:szCs w:val="32"/>
          <w:highlight w:val="none"/>
          <w:lang w:val="en-US" w:eastAsia="zh-CN"/>
        </w:rPr>
        <w:t>涉</w:t>
      </w:r>
      <w:r>
        <w:rPr>
          <w:rFonts w:hint="eastAsia" w:ascii="仿宋_GB2312" w:hAnsi="仿宋_GB2312" w:eastAsia="仿宋_GB2312" w:cs="仿宋_GB2312"/>
          <w:sz w:val="32"/>
          <w:szCs w:val="32"/>
          <w:highlight w:val="none"/>
          <w:lang w:eastAsia="zh-CN"/>
        </w:rPr>
        <w:t>企“法治体检”</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次，“送法进企”</w:t>
      </w:r>
      <w:r>
        <w:rPr>
          <w:rFonts w:hint="eastAsia" w:ascii="仿宋_GB2312" w:hAnsi="仿宋_GB2312" w:eastAsia="仿宋_GB2312" w:cs="仿宋_GB2312"/>
          <w:sz w:val="32"/>
          <w:szCs w:val="32"/>
          <w:highlight w:val="none"/>
          <w:lang w:val="en-US" w:eastAsia="zh-CN"/>
        </w:rPr>
        <w:t>50家（次），</w:t>
      </w:r>
      <w:r>
        <w:rPr>
          <w:rFonts w:hint="eastAsia" w:ascii="仿宋_GB2312" w:hAnsi="仿宋_GB2312" w:eastAsia="仿宋_GB2312" w:cs="仿宋_GB2312"/>
          <w:sz w:val="32"/>
          <w:szCs w:val="32"/>
          <w:highlight w:val="none"/>
          <w:lang w:eastAsia="zh-CN"/>
        </w:rPr>
        <w:t>解答法律咨询</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lang w:eastAsia="zh-CN"/>
        </w:rPr>
        <w:t>余人次。</w:t>
      </w:r>
      <w:r>
        <w:rPr>
          <w:rFonts w:hint="eastAsia" w:ascii="仿宋_GB2312" w:hAnsi="仿宋_GB2312" w:eastAsia="仿宋_GB2312" w:cs="仿宋_GB2312"/>
          <w:sz w:val="32"/>
          <w:szCs w:val="32"/>
          <w:lang w:eastAsia="zh-CN"/>
        </w:rPr>
        <w:t>县法院为氟新材料产业定制10项司法保障措施，盘活闲置资产7.81亿元；</w:t>
      </w:r>
      <w:r>
        <w:rPr>
          <w:rFonts w:hint="eastAsia" w:ascii="仿宋_GB2312" w:hAnsi="仿宋_GB2312" w:eastAsia="仿宋_GB2312" w:cs="仿宋_GB2312"/>
          <w:sz w:val="32"/>
          <w:szCs w:val="32"/>
          <w:lang w:val="en-US" w:eastAsia="zh-CN"/>
        </w:rPr>
        <w:t>县检察院细化检察服务保障措施，开展违规异地执法和趋利性执法司法专项监督，走访企业15家，评查涉企民事执行及行政非诉执行案件40件，制发检察建议4份。县公安局</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持续深化“11653”生态治理品牌，全县立生态类刑事案件5起，抓获嫌疑人8人。</w:t>
      </w:r>
    </w:p>
    <w:p w14:paraId="2302D85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bCs/>
          <w:kern w:val="2"/>
          <w:sz w:val="32"/>
          <w:szCs w:val="32"/>
          <w:lang w:val="en-US" w:eastAsia="zh-CN" w:bidi="ar-SA"/>
        </w:rPr>
        <w:t>（三）注重依法履职，持续提升政府治理效能。</w:t>
      </w:r>
      <w:r>
        <w:rPr>
          <w:rFonts w:hint="eastAsia" w:ascii="仿宋_GB2312" w:hAnsi="仿宋_GB2312" w:eastAsia="仿宋_GB2312" w:cs="仿宋_GB2312"/>
          <w:b/>
          <w:bCs/>
          <w:sz w:val="32"/>
          <w:szCs w:val="32"/>
          <w:highlight w:val="none"/>
          <w:lang w:val="en-US" w:eastAsia="zh-CN"/>
        </w:rPr>
        <w:t>一是做好规范性决策。</w:t>
      </w:r>
      <w:r>
        <w:rPr>
          <w:rFonts w:hint="eastAsia" w:ascii="仿宋_GB2312" w:hAnsi="仿宋_GB2312" w:eastAsia="仿宋_GB2312" w:cs="仿宋_GB2312"/>
          <w:sz w:val="32"/>
          <w:szCs w:val="32"/>
          <w:lang w:val="en-US" w:eastAsia="zh-CN"/>
        </w:rPr>
        <w:t>严格落实《重大行政决策程序暂行条例》，对事关经济社会发展全局和涉及群众切身利益的决策事项，从严把控政府重大行政决策法定程序，确保重大行政决策规范化、法治化运行。审查公示6件重大行政决策事项，提出审查意见5条。扎实推进全县党政机关法律顾问配备工作，完善政府法律顾问制度，全县</w:t>
      </w:r>
      <w:r>
        <w:rPr>
          <w:rFonts w:hint="eastAsia" w:ascii="仿宋_GB2312" w:hAnsi="仿宋_GB2312" w:eastAsia="仿宋_GB2312" w:cs="仿宋_GB2312"/>
          <w:sz w:val="32"/>
          <w:szCs w:val="32"/>
          <w:u w:val="none"/>
          <w:lang w:val="en-US" w:eastAsia="zh-CN"/>
        </w:rPr>
        <w:t>37</w:t>
      </w:r>
      <w:r>
        <w:rPr>
          <w:rFonts w:hint="eastAsia" w:ascii="仿宋_GB2312" w:hAnsi="仿宋_GB2312" w:eastAsia="仿宋_GB2312" w:cs="仿宋_GB2312"/>
          <w:sz w:val="32"/>
          <w:szCs w:val="32"/>
          <w:lang w:val="en-US" w:eastAsia="zh-CN"/>
        </w:rPr>
        <w:t>个党政机关全部配备法律顾问。</w:t>
      </w:r>
      <w:r>
        <w:rPr>
          <w:rFonts w:hint="eastAsia" w:ascii="仿宋_GB2312" w:hAnsi="仿宋_GB2312" w:eastAsia="仿宋_GB2312" w:cs="仿宋_GB2312"/>
          <w:b/>
          <w:bCs/>
          <w:sz w:val="32"/>
          <w:szCs w:val="32"/>
          <w:highlight w:val="none"/>
          <w:lang w:val="en-US" w:eastAsia="zh-CN"/>
        </w:rPr>
        <w:t>二是做好合法性审查。</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lang w:eastAsia="zh-CN"/>
        </w:rPr>
        <w:t>政规范性文件监督管理机制，</w:t>
      </w:r>
      <w:r>
        <w:rPr>
          <w:rFonts w:hint="eastAsia" w:ascii="仿宋_GB2312" w:hAnsi="仿宋_GB2312" w:eastAsia="仿宋_GB2312" w:cs="仿宋_GB2312"/>
          <w:sz w:val="32"/>
          <w:szCs w:val="32"/>
          <w:lang w:val="en-US" w:eastAsia="zh-CN"/>
        </w:rPr>
        <w:t>按照“有件必备、有备必审、有错必纠”的原则，认真做好规范性文件备案审查、全面清理工作</w:t>
      </w:r>
      <w:r>
        <w:rPr>
          <w:rFonts w:hint="eastAsia" w:ascii="仿宋_GB2312" w:hAnsi="仿宋_GB2312" w:eastAsia="仿宋_GB2312" w:cs="仿宋_GB2312"/>
          <w:sz w:val="32"/>
          <w:szCs w:val="32"/>
          <w:lang w:eastAsia="zh-CN"/>
        </w:rPr>
        <w:t>，严禁越权发文、严控发文数量、严格制发程序。</w:t>
      </w:r>
      <w:r>
        <w:rPr>
          <w:rFonts w:hint="eastAsia" w:ascii="仿宋_GB2312" w:hAnsi="仿宋_GB2312" w:eastAsia="仿宋_GB2312" w:cs="仿宋_GB2312"/>
          <w:sz w:val="32"/>
          <w:szCs w:val="32"/>
          <w:lang w:val="en-US" w:eastAsia="zh-CN"/>
        </w:rPr>
        <w:t>向市政府及县人大常委会报备规范性文件26件。</w:t>
      </w:r>
      <w:r>
        <w:rPr>
          <w:rFonts w:hint="eastAsia" w:ascii="仿宋_GB2312" w:hAnsi="仿宋_GB2312" w:eastAsia="仿宋_GB2312" w:cs="仿宋_GB2312"/>
          <w:b/>
          <w:bCs/>
          <w:sz w:val="32"/>
          <w:szCs w:val="32"/>
          <w:highlight w:val="none"/>
          <w:lang w:val="en-US" w:eastAsia="zh-CN"/>
        </w:rPr>
        <w:t>三是做好实质性化解。</w:t>
      </w:r>
      <w:r>
        <w:rPr>
          <w:rFonts w:hint="eastAsia" w:ascii="仿宋_GB2312" w:hAnsi="仿宋_GB2312" w:eastAsia="仿宋_GB2312" w:cs="仿宋_GB2312"/>
          <w:b w:val="0"/>
          <w:bCs w:val="0"/>
          <w:sz w:val="32"/>
          <w:szCs w:val="32"/>
          <w:highlight w:val="none"/>
          <w:lang w:val="en-US" w:eastAsia="zh-CN"/>
        </w:rPr>
        <w:t>发挥</w:t>
      </w:r>
      <w:r>
        <w:rPr>
          <w:rFonts w:hint="eastAsia" w:ascii="仿宋_GB2312" w:hAnsi="仿宋_GB2312" w:eastAsia="仿宋_GB2312" w:cs="仿宋_GB2312"/>
          <w:b w:val="0"/>
          <w:bCs w:val="0"/>
          <w:sz w:val="32"/>
          <w:szCs w:val="32"/>
          <w:highlight w:val="none"/>
          <w:lang w:eastAsia="zh-CN"/>
        </w:rPr>
        <w:t>行政复议化解行政争议主渠道作用，</w:t>
      </w:r>
      <w:r>
        <w:rPr>
          <w:rFonts w:hint="eastAsia" w:ascii="仿宋_GB2312" w:hAnsi="仿宋_GB2312" w:eastAsia="仿宋_GB2312" w:cs="仿宋_GB2312"/>
          <w:b w:val="0"/>
          <w:bCs w:val="0"/>
          <w:sz w:val="32"/>
          <w:szCs w:val="32"/>
          <w:highlight w:val="none"/>
          <w:lang w:val="en-US" w:eastAsia="zh-CN"/>
        </w:rPr>
        <w:t>促进行政争议实质性化解，不断增强行政复议权威性和公信力。</w:t>
      </w:r>
      <w:r>
        <w:rPr>
          <w:rFonts w:hint="eastAsia" w:ascii="仿宋_GB2312" w:hAnsi="仿宋_GB2312" w:eastAsia="仿宋_GB2312" w:cs="仿宋_GB2312"/>
          <w:sz w:val="32"/>
          <w:szCs w:val="32"/>
          <w:highlight w:val="none"/>
          <w:lang w:eastAsia="zh-CN"/>
        </w:rPr>
        <w:t>收</w:t>
      </w:r>
      <w:r>
        <w:rPr>
          <w:rFonts w:hint="eastAsia" w:ascii="仿宋_GB2312" w:hAnsi="仿宋_GB2312" w:eastAsia="仿宋_GB2312" w:cs="仿宋_GB2312"/>
          <w:sz w:val="32"/>
          <w:szCs w:val="32"/>
          <w:highlight w:val="none"/>
          <w:lang w:val="en-US" w:eastAsia="zh-CN"/>
        </w:rPr>
        <w:t>到</w:t>
      </w:r>
      <w:r>
        <w:rPr>
          <w:rFonts w:hint="eastAsia" w:ascii="仿宋_GB2312" w:hAnsi="仿宋_GB2312" w:eastAsia="仿宋_GB2312" w:cs="仿宋_GB2312"/>
          <w:sz w:val="32"/>
          <w:szCs w:val="32"/>
          <w:highlight w:val="none"/>
          <w:lang w:eastAsia="zh-CN"/>
        </w:rPr>
        <w:t>行政复议申请33件，与同比增长43.5%，县政府本级办结的行政复议案件未出现因违法被法院裁判撤销的情形,行政复议合法率达100%。行政应诉23件，化解17件，败诉3件，败诉率13.04%</w:t>
      </w:r>
      <w:r>
        <w:rPr>
          <w:rFonts w:hint="eastAsia" w:ascii="仿宋_GB2312" w:hAnsi="仿宋_GB2312" w:eastAsia="仿宋_GB2312" w:cs="仿宋_GB2312"/>
          <w:b w:val="0"/>
          <w:bCs w:val="0"/>
          <w:i w:val="0"/>
          <w:iCs w:val="0"/>
          <w:caps w:val="0"/>
          <w:color w:val="1F2329"/>
          <w:spacing w:val="0"/>
          <w:sz w:val="32"/>
          <w:szCs w:val="32"/>
          <w:shd w:val="clear" w:fill="FFFFFF"/>
          <w:lang w:val="en-US" w:eastAsia="zh-CN"/>
        </w:rPr>
        <w:t>；</w:t>
      </w:r>
      <w:r>
        <w:rPr>
          <w:rFonts w:hint="eastAsia" w:ascii="仿宋_GB2312" w:hAnsi="仿宋_GB2312" w:eastAsia="仿宋_GB2312" w:cs="仿宋_GB2312"/>
          <w:sz w:val="32"/>
          <w:szCs w:val="32"/>
          <w:highlight w:val="none"/>
          <w:lang w:val="en-US" w:eastAsia="zh-CN"/>
        </w:rPr>
        <w:t>县行政机关负责人出庭应诉率100%。</w:t>
      </w:r>
    </w:p>
    <w:p w14:paraId="5FAA7F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（四）注重严格规范，持续推进公正文明执法。</w:t>
      </w:r>
      <w:r>
        <w:rPr>
          <w:rFonts w:hint="eastAsia" w:ascii="仿宋_GB2312" w:hAnsi="仿宋_GB2312" w:eastAsia="仿宋_GB2312" w:cs="仿宋_GB2312"/>
          <w:b/>
          <w:bCs/>
          <w:sz w:val="32"/>
          <w:szCs w:val="32"/>
          <w:highlight w:val="none"/>
          <w:lang w:val="en-US" w:eastAsia="zh-CN"/>
        </w:rPr>
        <w:t>一是开展专项整治。</w:t>
      </w:r>
      <w:r>
        <w:rPr>
          <w:rFonts w:hint="eastAsia" w:ascii="仿宋_GB2312" w:hAnsi="仿宋_GB2312" w:eastAsia="仿宋_GB2312" w:cs="仿宋_GB2312"/>
          <w:sz w:val="32"/>
          <w:szCs w:val="32"/>
          <w:lang w:val="en-US" w:eastAsia="zh-CN"/>
        </w:rPr>
        <w:t>制发《清流县基层行政执法领域突出问题专项整治工作方案</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bCs/>
          <w:color w:val="auto"/>
          <w:sz w:val="32"/>
          <w:szCs w:val="32"/>
          <w:lang w:eastAsia="zh-CN"/>
        </w:rPr>
        <w:t>专项整治</w:t>
      </w:r>
      <w:r>
        <w:rPr>
          <w:rFonts w:hint="eastAsia" w:ascii="仿宋_GB2312" w:hAnsi="仿宋_GB2312" w:eastAsia="仿宋_GB2312" w:cs="仿宋_GB2312"/>
          <w:sz w:val="32"/>
          <w:szCs w:val="32"/>
          <w:lang w:val="en-US" w:eastAsia="zh-CN"/>
        </w:rPr>
        <w:t>工作“双专班”，</w:t>
      </w:r>
      <w:r>
        <w:rPr>
          <w:rFonts w:hint="eastAsia" w:ascii="仿宋_GB2312" w:hAnsi="仿宋_GB2312" w:eastAsia="仿宋_GB2312" w:cs="仿宋_GB2312"/>
          <w:sz w:val="32"/>
          <w:szCs w:val="32"/>
        </w:rPr>
        <w:t>建立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动态调度、定期会商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bCs/>
          <w:color w:val="auto"/>
          <w:sz w:val="32"/>
          <w:szCs w:val="32"/>
          <w:lang w:val="en-US" w:eastAsia="zh-CN"/>
        </w:rPr>
        <w:t>形成上下贯通、条块结合、同频共振工作格局，推动专项整治工作走深走实。</w:t>
      </w:r>
      <w:r>
        <w:rPr>
          <w:rFonts w:hint="eastAsia" w:ascii="仿宋_GB2312" w:hAnsi="仿宋_GB2312" w:eastAsia="仿宋_GB2312" w:cs="仿宋_GB2312"/>
          <w:sz w:val="32"/>
          <w:szCs w:val="32"/>
          <w:highlight w:val="none"/>
          <w:lang w:eastAsia="zh-CN"/>
        </w:rPr>
        <w:t>先后报送执法整改问题</w:t>
      </w:r>
      <w:r>
        <w:rPr>
          <w:rFonts w:hint="eastAsia" w:ascii="仿宋_GB2312" w:hAnsi="仿宋_GB2312" w:eastAsia="仿宋_GB2312" w:cs="仿宋_GB2312"/>
          <w:sz w:val="32"/>
          <w:szCs w:val="32"/>
          <w:highlight w:val="none"/>
          <w:lang w:val="en-US" w:eastAsia="zh-CN"/>
        </w:rPr>
        <w:t>758</w:t>
      </w:r>
      <w:r>
        <w:rPr>
          <w:rFonts w:hint="eastAsia" w:ascii="仿宋_GB2312" w:hAnsi="仿宋_GB2312" w:eastAsia="仿宋_GB2312" w:cs="仿宋_GB2312"/>
          <w:sz w:val="32"/>
          <w:szCs w:val="32"/>
          <w:highlight w:val="none"/>
          <w:lang w:eastAsia="zh-CN"/>
        </w:rPr>
        <w:t>个，向纪委监委移送问题线索6</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条，职能部门解决群众急难愁盼问题</w:t>
      </w:r>
      <w:r>
        <w:rPr>
          <w:rFonts w:hint="eastAsia" w:ascii="仿宋_GB2312" w:hAnsi="仿宋_GB2312" w:eastAsia="仿宋_GB2312" w:cs="仿宋_GB2312"/>
          <w:sz w:val="32"/>
          <w:szCs w:val="32"/>
          <w:highlight w:val="none"/>
          <w:lang w:val="en-US" w:eastAsia="zh-CN"/>
        </w:rPr>
        <w:t>2029</w:t>
      </w:r>
      <w:r>
        <w:rPr>
          <w:rFonts w:hint="eastAsia" w:ascii="仿宋_GB2312" w:hAnsi="仿宋_GB2312" w:eastAsia="仿宋_GB2312" w:cs="仿宋_GB2312"/>
          <w:sz w:val="32"/>
          <w:szCs w:val="32"/>
          <w:highlight w:val="none"/>
          <w:lang w:eastAsia="zh-CN"/>
        </w:rPr>
        <w:t>个，推动健全完善执法制度111条。</w:t>
      </w:r>
      <w:r>
        <w:rPr>
          <w:rFonts w:hint="eastAsia" w:ascii="仿宋_GB2312" w:hAnsi="仿宋_GB2312" w:eastAsia="仿宋_GB2312" w:cs="仿宋_GB2312"/>
          <w:sz w:val="32"/>
          <w:szCs w:val="32"/>
          <w:highlight w:val="none"/>
          <w:lang w:val="en-US" w:eastAsia="zh-CN"/>
        </w:rPr>
        <w:t>11月，清流县</w:t>
      </w:r>
      <w:r>
        <w:rPr>
          <w:rFonts w:hint="eastAsia" w:ascii="仿宋_GB2312" w:hAnsi="仿宋_GB2312" w:eastAsia="仿宋_GB2312" w:cs="仿宋_GB2312"/>
          <w:sz w:val="32"/>
          <w:szCs w:val="32"/>
          <w:lang w:val="en-US" w:eastAsia="zh-CN"/>
        </w:rPr>
        <w:t>专项整治工作在全市作经验交流发言。</w:t>
      </w:r>
      <w:r>
        <w:rPr>
          <w:rFonts w:hint="eastAsia" w:ascii="仿宋_GB2312" w:hAnsi="仿宋_GB2312" w:eastAsia="仿宋_GB2312" w:cs="仿宋_GB2312"/>
          <w:b/>
          <w:bCs/>
          <w:sz w:val="32"/>
          <w:szCs w:val="32"/>
          <w:highlight w:val="none"/>
          <w:lang w:val="en-US" w:eastAsia="zh-CN"/>
        </w:rPr>
        <w:t>二是用好执法平台。</w:t>
      </w:r>
      <w:r>
        <w:rPr>
          <w:rFonts w:hint="eastAsia" w:ascii="仿宋_GB2312" w:hAnsi="仿宋_GB2312" w:eastAsia="仿宋_GB2312" w:cs="仿宋_GB2312"/>
          <w:sz w:val="32"/>
          <w:szCs w:val="32"/>
          <w:highlight w:val="none"/>
          <w:lang w:val="en-US" w:eastAsia="zh-CN"/>
        </w:rPr>
        <w:t>持续用好用活“闽执法”平台，严格落实行政执法案件线上办理要求，督促推动严格规范公正文明执法。</w:t>
      </w:r>
      <w:r>
        <w:rPr>
          <w:rFonts w:hint="eastAsia" w:ascii="仿宋_GB2312" w:hAnsi="仿宋_GB2312" w:eastAsia="仿宋_GB2312" w:cs="仿宋_GB2312"/>
          <w:sz w:val="32"/>
          <w:szCs w:val="32"/>
          <w:highlight w:val="none"/>
          <w:lang w:eastAsia="zh-CN"/>
        </w:rPr>
        <w:t>全县各行政执法部门在“闽执法”平台上办理行政执法案件</w:t>
      </w: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sz w:val="32"/>
          <w:szCs w:val="32"/>
          <w:highlight w:val="none"/>
          <w:lang w:eastAsia="zh-CN"/>
        </w:rPr>
        <w:t>件（其中行政检查3</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lang w:eastAsia="zh-CN"/>
        </w:rPr>
        <w:t>件、行政处罚5</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lang w:eastAsia="zh-CN"/>
        </w:rPr>
        <w:t>件、行政强制1件）。通过闽执法证件申领功能组织62人参加行政执法考试16场，考试通过率85.34%，新增执法证51本，全县除公安系统外在编在岗执法人员共有512名。</w:t>
      </w:r>
      <w:r>
        <w:rPr>
          <w:rFonts w:hint="eastAsia" w:ascii="仿宋_GB2312" w:hAnsi="仿宋_GB2312" w:eastAsia="仿宋_GB2312" w:cs="仿宋_GB2312"/>
          <w:b/>
          <w:bCs/>
          <w:sz w:val="32"/>
          <w:szCs w:val="32"/>
          <w:highlight w:val="none"/>
          <w:lang w:eastAsia="zh-CN"/>
        </w:rPr>
        <w:t>三是调整乡镇赋权。</w:t>
      </w:r>
      <w:r>
        <w:rPr>
          <w:rFonts w:hint="eastAsia" w:ascii="仿宋_GB2312" w:hAnsi="仿宋_GB2312" w:eastAsia="仿宋_GB2312" w:cs="仿宋_GB2312"/>
          <w:sz w:val="32"/>
          <w:szCs w:val="32"/>
          <w:highlight w:val="none"/>
          <w:lang w:val="en-US" w:eastAsia="zh-CN"/>
        </w:rPr>
        <w:t>认真落实中央编办关于调整乡镇赋权事项文件要求，</w:t>
      </w:r>
      <w:r>
        <w:rPr>
          <w:rFonts w:hint="eastAsia" w:ascii="仿宋_GB2312" w:hAnsi="仿宋_GB2312" w:eastAsia="仿宋_GB2312" w:cs="仿宋_GB2312"/>
          <w:sz w:val="32"/>
          <w:szCs w:val="32"/>
          <w:highlight w:val="none"/>
          <w:lang w:eastAsia="zh-CN"/>
        </w:rPr>
        <w:t>本着应收尽收的原则，</w:t>
      </w:r>
      <w:r>
        <w:rPr>
          <w:rFonts w:hint="eastAsia" w:ascii="仿宋_GB2312" w:hAnsi="仿宋_GB2312" w:eastAsia="仿宋_GB2312" w:cs="仿宋_GB2312"/>
          <w:sz w:val="32"/>
          <w:szCs w:val="32"/>
          <w:highlight w:val="none"/>
          <w:lang w:val="en-US" w:eastAsia="zh-CN"/>
        </w:rPr>
        <w:t>及时做好</w:t>
      </w:r>
      <w:r>
        <w:rPr>
          <w:rFonts w:hint="eastAsia" w:ascii="仿宋_GB2312" w:hAnsi="仿宋_GB2312" w:eastAsia="仿宋_GB2312" w:cs="仿宋_GB2312"/>
          <w:sz w:val="32"/>
          <w:szCs w:val="32"/>
          <w:highlight w:val="none"/>
          <w:lang w:eastAsia="zh-CN"/>
        </w:rPr>
        <w:t>赋予乡镇的行政执法事项下放运行情况调研评估、分析研判，对专业技术性强、发生频次低、处理难度大等乡镇无力承接的事项</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lang w:eastAsia="zh-CN"/>
        </w:rPr>
        <w:t>收回，确保</w:t>
      </w:r>
      <w:r>
        <w:rPr>
          <w:rFonts w:hint="eastAsia" w:ascii="仿宋_GB2312" w:hAnsi="仿宋_GB2312" w:eastAsia="仿宋_GB2312" w:cs="仿宋_GB2312"/>
          <w:sz w:val="32"/>
          <w:szCs w:val="32"/>
          <w:highlight w:val="none"/>
          <w:lang w:val="en-US" w:eastAsia="zh-CN"/>
        </w:rPr>
        <w:t>赋权乡镇事项</w:t>
      </w:r>
      <w:r>
        <w:rPr>
          <w:rFonts w:hint="eastAsia" w:ascii="仿宋_GB2312" w:hAnsi="仿宋_GB2312" w:eastAsia="仿宋_GB2312" w:cs="仿宋_GB2312"/>
          <w:sz w:val="32"/>
          <w:szCs w:val="32"/>
          <w:highlight w:val="none"/>
          <w:lang w:eastAsia="zh-CN"/>
        </w:rPr>
        <w:t>够接得住，管得好。</w:t>
      </w:r>
      <w:r>
        <w:rPr>
          <w:rFonts w:hint="eastAsia" w:ascii="仿宋_GB2312" w:hAnsi="仿宋_GB2312" w:eastAsia="仿宋_GB2312" w:cs="仿宋_GB2312"/>
          <w:sz w:val="32"/>
          <w:szCs w:val="32"/>
          <w:highlight w:val="none"/>
          <w:lang w:val="en-US" w:eastAsia="zh-CN"/>
        </w:rPr>
        <w:t>2025年6月县政府</w:t>
      </w:r>
      <w:r>
        <w:rPr>
          <w:rFonts w:hint="eastAsia" w:ascii="仿宋_GB2312" w:hAnsi="仿宋_GB2312" w:eastAsia="仿宋_GB2312" w:cs="仿宋_GB2312"/>
          <w:sz w:val="32"/>
          <w:szCs w:val="32"/>
          <w:highlight w:val="none"/>
          <w:lang w:eastAsia="zh-CN"/>
        </w:rPr>
        <w:t>已</w:t>
      </w:r>
      <w:r>
        <w:rPr>
          <w:rFonts w:hint="eastAsia" w:ascii="仿宋_GB2312" w:hAnsi="仿宋_GB2312" w:eastAsia="仿宋_GB2312" w:cs="仿宋_GB2312"/>
          <w:sz w:val="32"/>
          <w:szCs w:val="32"/>
          <w:highlight w:val="none"/>
          <w:lang w:val="en-US" w:eastAsia="zh-CN"/>
        </w:rPr>
        <w:t>回收</w:t>
      </w:r>
      <w:r>
        <w:rPr>
          <w:rFonts w:hint="eastAsia" w:ascii="仿宋_GB2312" w:hAnsi="仿宋_GB2312" w:eastAsia="仿宋_GB2312" w:cs="仿宋_GB2312"/>
          <w:sz w:val="32"/>
          <w:szCs w:val="32"/>
          <w:highlight w:val="none"/>
          <w:lang w:eastAsia="zh-CN"/>
        </w:rPr>
        <w:t>乡镇行政执法事项</w:t>
      </w:r>
      <w:r>
        <w:rPr>
          <w:rFonts w:hint="eastAsia" w:ascii="仿宋_GB2312" w:hAnsi="仿宋_GB2312" w:eastAsia="仿宋_GB2312" w:cs="仿宋_GB2312"/>
          <w:sz w:val="32"/>
          <w:szCs w:val="32"/>
          <w:highlight w:val="none"/>
          <w:lang w:val="en-US" w:eastAsia="zh-CN"/>
        </w:rPr>
        <w:t>76项</w:t>
      </w:r>
      <w:r>
        <w:rPr>
          <w:rFonts w:hint="eastAsia" w:ascii="仿宋_GB2312" w:hAnsi="仿宋_GB2312" w:eastAsia="仿宋_GB2312" w:cs="仿宋_GB2312"/>
          <w:sz w:val="32"/>
          <w:szCs w:val="32"/>
          <w:highlight w:val="none"/>
          <w:lang w:eastAsia="zh-CN"/>
        </w:rPr>
        <w:t>，目前县政府赋予</w:t>
      </w:r>
      <w:r>
        <w:rPr>
          <w:rFonts w:hint="eastAsia" w:ascii="仿宋_GB2312" w:hAnsi="仿宋_GB2312" w:eastAsia="仿宋_GB2312" w:cs="仿宋_GB2312"/>
          <w:sz w:val="32"/>
          <w:szCs w:val="32"/>
          <w:highlight w:val="none"/>
          <w:lang w:val="en-US" w:eastAsia="zh-CN"/>
        </w:rPr>
        <w:t>乡镇行政执法事项从166项减至90项。</w:t>
      </w:r>
    </w:p>
    <w:p w14:paraId="697A07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b/>
          <w:bCs/>
          <w:kern w:val="2"/>
          <w:sz w:val="32"/>
          <w:szCs w:val="32"/>
          <w:lang w:val="en-US" w:eastAsia="zh-CN" w:bidi="ar-SA"/>
        </w:rPr>
        <w:t>（五）注重基层治理，持续保障社会安定稳定。</w:t>
      </w:r>
      <w:r>
        <w:rPr>
          <w:rFonts w:hint="eastAsia" w:ascii="仿宋_GB2312" w:hAnsi="仿宋_GB2312" w:eastAsia="仿宋_GB2312" w:cs="仿宋_GB2312"/>
          <w:b/>
          <w:bCs/>
          <w:sz w:val="32"/>
          <w:szCs w:val="32"/>
          <w:highlight w:val="none"/>
          <w:lang w:val="en-US" w:eastAsia="zh-CN"/>
        </w:rPr>
        <w:t>一是做好纠纷多元化解。</w:t>
      </w:r>
      <w:r>
        <w:rPr>
          <w:rFonts w:hint="eastAsia" w:ascii="仿宋_GB2312" w:hAnsi="仿宋_GB2312" w:eastAsia="仿宋_GB2312" w:cs="仿宋_GB2312"/>
          <w:sz w:val="32"/>
          <w:szCs w:val="32"/>
          <w:highlight w:val="none"/>
          <w:lang w:val="en-US" w:eastAsia="zh-CN"/>
        </w:rPr>
        <w:t>坚持和发展新时代“枫桥经验”，深化矛盾纠纷调解、信访、行政复议等多元化解体系建设，有效维护社会和谐稳定。</w:t>
      </w:r>
      <w:r>
        <w:rPr>
          <w:rFonts w:hint="eastAsia" w:ascii="仿宋_GB2312" w:hAnsi="仿宋_GB2312" w:eastAsia="仿宋_GB2312" w:cs="仿宋_GB2312"/>
          <w:sz w:val="32"/>
          <w:szCs w:val="32"/>
          <w:highlight w:val="none"/>
          <w:lang w:eastAsia="zh-CN"/>
        </w:rPr>
        <w:t>全县排查调处各类矛盾纠纷2107件，调解成功率100%，140个调委会平均调解15.05件，无“民转刑”案件。</w:t>
      </w:r>
      <w:r>
        <w:rPr>
          <w:rFonts w:hint="eastAsia" w:ascii="仿宋_GB2312" w:hAnsi="仿宋_GB2312" w:eastAsia="仿宋_GB2312" w:cs="仿宋_GB2312"/>
          <w:sz w:val="32"/>
          <w:szCs w:val="32"/>
          <w:highlight w:val="none"/>
          <w:lang w:val="en-US" w:eastAsia="zh-CN"/>
        </w:rPr>
        <w:t>积极打造清流特色“涉台枫桥”品牌，《清流县深化“涉台枫桥”新机制打造两岸融合发展“新枫景”》经验做法获省司法厅转发。</w:t>
      </w:r>
      <w:r>
        <w:rPr>
          <w:rFonts w:hint="eastAsia" w:ascii="仿宋_GB2312" w:hAnsi="仿宋_GB2312" w:eastAsia="仿宋_GB2312" w:cs="仿宋_GB2312"/>
          <w:b/>
          <w:bCs/>
          <w:sz w:val="32"/>
          <w:szCs w:val="32"/>
          <w:highlight w:val="none"/>
          <w:lang w:val="en-US" w:eastAsia="zh-CN"/>
        </w:rPr>
        <w:t>二是做好公共法律供给。</w:t>
      </w:r>
      <w:r>
        <w:rPr>
          <w:rFonts w:hint="eastAsia" w:ascii="仿宋_GB2312" w:hAnsi="仿宋_GB2312" w:eastAsia="仿宋_GB2312" w:cs="仿宋_GB2312"/>
          <w:sz w:val="32"/>
          <w:szCs w:val="32"/>
          <w:highlight w:val="none"/>
          <w:lang w:val="en-US" w:eastAsia="zh-CN"/>
        </w:rPr>
        <w:t>充分发挥县综治中心作用建设，通过“常驻+轮驻”方式开展联合接访、联合调处等工作，实现“小中心”促进“大和谐”。扎实开展“乡村振兴 法治同行”活动，充分发挥村居法律顾问作用，开展‘148’品牌”创建活动，提升公共法律服务可及率。办理审批法律援助案件329件（民事24件，刑事305件），实现刑事案件律师辩护全覆盖。持续推进“互联网+公证”项目服务，办结各类公证法律业务162件（涉外公证业务46件），接受法律咨询170余人次。</w:t>
      </w:r>
      <w:r>
        <w:rPr>
          <w:rFonts w:hint="eastAsia" w:ascii="仿宋_GB2312" w:hAnsi="仿宋_GB2312" w:eastAsia="仿宋_GB2312" w:cs="仿宋_GB2312"/>
          <w:b/>
          <w:bCs/>
          <w:sz w:val="32"/>
          <w:szCs w:val="32"/>
          <w:highlight w:val="none"/>
          <w:lang w:val="en-US" w:eastAsia="zh-CN"/>
        </w:rPr>
        <w:t>三是做好普法宣传教育。</w:t>
      </w:r>
      <w:r>
        <w:rPr>
          <w:rFonts w:hint="eastAsia" w:ascii="仿宋_GB2312" w:hAnsi="仿宋_GB2312" w:eastAsia="仿宋_GB2312" w:cs="仿宋_GB2312"/>
          <w:sz w:val="32"/>
          <w:szCs w:val="32"/>
          <w:highlight w:val="none"/>
          <w:lang w:val="en-US" w:eastAsia="zh-CN"/>
        </w:rPr>
        <w:t>深入实施“八五”普法，坚持以一座宗族祠堂、一处人文广场、一项非遗活动、一则家规家训、一支乡贤队伍等“五个一”为抓手，充分发挥“两微一端”和“蒲公英”普法志愿者、“法律明白人”、普法讲师团作用，广泛开展法律宣传咨询活动，持续提升公民法治素养。全年开展送法“七进”活动200余次，发放宣传资料1.5万余份，为群众提供法律咨询800余人次。</w:t>
      </w:r>
    </w:p>
    <w:p w14:paraId="24D69978">
      <w:pPr>
        <w:pStyle w:val="15"/>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二、202</w:t>
      </w:r>
      <w:r>
        <w:rPr>
          <w:rFonts w:hint="default" w:ascii="黑体" w:hAnsi="黑体" w:eastAsia="黑体" w:cs="黑体"/>
          <w:sz w:val="32"/>
          <w:szCs w:val="32"/>
          <w:lang w:eastAsia="zh-CN"/>
        </w:rPr>
        <w:t>5</w:t>
      </w:r>
      <w:r>
        <w:rPr>
          <w:rFonts w:hint="eastAsia" w:ascii="黑体" w:hAnsi="黑体" w:eastAsia="黑体" w:cs="黑体"/>
          <w:sz w:val="32"/>
          <w:szCs w:val="32"/>
          <w:lang w:eastAsia="zh-CN"/>
        </w:rPr>
        <w:t>年度推进法治政府建设存在的不足和原因</w:t>
      </w:r>
    </w:p>
    <w:p w14:paraId="01893668">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虽然</w:t>
      </w:r>
      <w:r>
        <w:rPr>
          <w:rFonts w:hint="eastAsia" w:ascii="仿宋_GB2312" w:hAnsi="仿宋_GB2312" w:eastAsia="仿宋_GB2312" w:cs="仿宋_GB2312"/>
          <w:sz w:val="32"/>
          <w:szCs w:val="32"/>
        </w:rPr>
        <w:t>我县法治</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建设虽取得一定成效，但与上级的要求和人民群众的期待还有一定差距，</w:t>
      </w:r>
      <w:r>
        <w:rPr>
          <w:rFonts w:hint="eastAsia" w:ascii="仿宋_GB2312" w:hAnsi="仿宋_GB2312" w:eastAsia="仿宋_GB2312" w:cs="仿宋_GB2312"/>
          <w:sz w:val="32"/>
          <w:szCs w:val="32"/>
          <w:lang w:eastAsia="zh-CN"/>
        </w:rPr>
        <w:t>主要表现在以下几个方面：</w:t>
      </w:r>
    </w:p>
    <w:p w14:paraId="7439EAA4">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w:t>
      </w:r>
      <w:r>
        <w:rPr>
          <w:rFonts w:hint="eastAsia" w:ascii="仿宋_GB2312" w:hAnsi="仿宋_GB2312" w:eastAsia="仿宋_GB2312" w:cs="仿宋_GB2312"/>
          <w:b/>
          <w:bCs/>
          <w:kern w:val="2"/>
          <w:sz w:val="32"/>
          <w:szCs w:val="32"/>
          <w:lang w:val="en-US" w:eastAsia="zh-CN" w:bidi="ar-SA"/>
        </w:rPr>
        <w:t>健全政府机构职能体系方面。</w:t>
      </w:r>
      <w:r>
        <w:rPr>
          <w:rFonts w:hint="eastAsia" w:ascii="仿宋_GB2312" w:hAnsi="仿宋_GB2312" w:eastAsia="仿宋_GB2312" w:cs="仿宋_GB2312"/>
          <w:b w:val="0"/>
          <w:bCs w:val="0"/>
          <w:kern w:val="2"/>
          <w:sz w:val="32"/>
          <w:szCs w:val="32"/>
          <w:lang w:val="en-US" w:eastAsia="zh-CN" w:bidi="ar-SA"/>
        </w:rPr>
        <w:t>“放管服”改革有待进一步优化，政务服务水平有待提高，在惠民政策更新、电子印章使用、群众办事引流等方面，需要结合实际继续改进完善。</w:t>
      </w:r>
    </w:p>
    <w:p w14:paraId="72ED1A36">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eastAsia="zh-CN"/>
        </w:rPr>
        <w:t>（二）</w:t>
      </w:r>
      <w:r>
        <w:rPr>
          <w:rFonts w:hint="eastAsia" w:ascii="仿宋_GB2312" w:hAnsi="仿宋_GB2312" w:eastAsia="仿宋_GB2312" w:cs="仿宋_GB2312"/>
          <w:b/>
          <w:bCs/>
          <w:kern w:val="2"/>
          <w:sz w:val="32"/>
          <w:szCs w:val="32"/>
          <w:lang w:val="en-US" w:eastAsia="zh-CN" w:bidi="ar-SA"/>
        </w:rPr>
        <w:t>健全行政执法工作体系方面。</w:t>
      </w:r>
      <w:r>
        <w:rPr>
          <w:rFonts w:hint="eastAsia" w:ascii="仿宋_GB2312" w:hAnsi="仿宋_GB2312" w:eastAsia="仿宋_GB2312" w:cs="仿宋_GB2312"/>
          <w:b w:val="0"/>
          <w:bCs w:val="0"/>
          <w:kern w:val="2"/>
          <w:sz w:val="32"/>
          <w:szCs w:val="32"/>
          <w:lang w:val="en-US" w:eastAsia="zh-CN" w:bidi="ar-SA"/>
        </w:rPr>
        <w:t>部分单位执法人员老龄化，执法人员专业能力不高，部分乡镇和县直部门法制审核人员数量不足，制约行政执法规范化水平提高。</w:t>
      </w:r>
    </w:p>
    <w:p w14:paraId="0B1C873A">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sz w:val="32"/>
          <w:szCs w:val="32"/>
          <w:lang w:eastAsia="zh-CN"/>
        </w:rPr>
        <w:t>（三）</w:t>
      </w:r>
      <w:r>
        <w:rPr>
          <w:rFonts w:hint="eastAsia" w:ascii="仿宋_GB2312" w:hAnsi="仿宋_GB2312" w:eastAsia="仿宋_GB2312" w:cs="仿宋_GB2312"/>
          <w:b/>
          <w:bCs/>
          <w:kern w:val="2"/>
          <w:sz w:val="32"/>
          <w:szCs w:val="32"/>
          <w:lang w:val="en-US" w:eastAsia="zh-CN" w:bidi="ar-SA"/>
        </w:rPr>
        <w:t>法治宣传和公共法律服务体系方面。</w:t>
      </w:r>
      <w:r>
        <w:rPr>
          <w:rFonts w:hint="eastAsia" w:ascii="仿宋_GB2312" w:hAnsi="仿宋_GB2312" w:eastAsia="仿宋_GB2312" w:cs="仿宋_GB2312"/>
          <w:b w:val="0"/>
          <w:bCs w:val="0"/>
          <w:kern w:val="2"/>
          <w:sz w:val="32"/>
          <w:szCs w:val="32"/>
          <w:lang w:val="en-US" w:eastAsia="zh-CN" w:bidi="ar-SA"/>
        </w:rPr>
        <w:t>普法形式创新性不够，法治宣讲结合具体案例、结合工作的实际需要进行宣传的创新性不足、实效性不强。公共法律服务还需要深化拓展，智能化水平不高。</w:t>
      </w:r>
    </w:p>
    <w:p w14:paraId="4948EF23">
      <w:pPr>
        <w:pStyle w:val="15"/>
        <w:keepNext w:val="0"/>
        <w:keepLines w:val="0"/>
        <w:pageBreakBefore w:val="0"/>
        <w:widowControl w:val="0"/>
        <w:kinsoku/>
        <w:wordWrap/>
        <w:overflowPunct/>
        <w:topLinePunct w:val="0"/>
        <w:bidi w:val="0"/>
        <w:adjustRightInd w:val="0"/>
        <w:spacing w:line="56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2026年度推进法治政府建设的主要安排</w:t>
      </w:r>
    </w:p>
    <w:p w14:paraId="1430FD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年，清流县将坚持以习近平新时代中国特色社会主义思想为指导，深入学习贯彻习近平法治思想，认真落实省市部署要求，主动作为，持续发力，全力推进法治政府建设，为打造革命老区高质量发展示范区清流样板提供法治保障。</w:t>
      </w:r>
    </w:p>
    <w:p w14:paraId="2FB1F09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（一）持续加强党的全面领导。</w:t>
      </w:r>
      <w:r>
        <w:rPr>
          <w:rFonts w:hint="eastAsia" w:ascii="仿宋_GB2312" w:hAnsi="仿宋_GB2312" w:eastAsia="仿宋_GB2312" w:cs="仿宋_GB2312"/>
          <w:kern w:val="2"/>
          <w:sz w:val="32"/>
          <w:szCs w:val="32"/>
          <w:highlight w:val="none"/>
          <w:lang w:val="en-US" w:eastAsia="zh-CN" w:bidi="ar-SA"/>
        </w:rPr>
        <w:t>全面发挥县委依法治县办牵头抓总、统筹协调作用，认真实施《法治政府建设与责任落实督察规定》，强化落实党政主要负责人履行推进法治建设第一责任人职责，运用好法治督察与纪检监察监督协作配合机制，全面推进法治政府建设各项工作落地见效。</w:t>
      </w:r>
    </w:p>
    <w:p w14:paraId="28515C4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（二）持续优化法治营商环境。</w:t>
      </w:r>
      <w:r>
        <w:rPr>
          <w:rFonts w:hint="eastAsia" w:ascii="仿宋_GB2312" w:hAnsi="仿宋_GB2312" w:eastAsia="仿宋_GB2312" w:cs="仿宋_GB2312"/>
          <w:kern w:val="2"/>
          <w:sz w:val="32"/>
          <w:szCs w:val="32"/>
          <w:highlight w:val="none"/>
          <w:lang w:val="en-US" w:eastAsia="zh-CN" w:bidi="ar-SA"/>
        </w:rPr>
        <w:t>深入推进“放管服”改革，强化源头治理，积极回应市场关切，健全行政规范性文件公平备案审查和清理机制，及时清理纠正违法或不当的政策措施；严格落实《清流“一府两院”常态化联动机制的意见》</w:t>
      </w:r>
      <w:r>
        <w:rPr>
          <w:rFonts w:hint="eastAsia" w:ascii="仿宋_GB2312" w:hAnsi="仿宋_GB2312" w:eastAsia="仿宋_GB2312" w:cs="仿宋_GB2312"/>
          <w:color w:val="000000"/>
          <w:kern w:val="0"/>
          <w:sz w:val="32"/>
          <w:szCs w:val="32"/>
          <w:lang w:val="en-US" w:eastAsia="zh-CN" w:bidi="ar"/>
        </w:rPr>
        <w:t>、《清流县</w:t>
      </w:r>
      <w:r>
        <w:rPr>
          <w:rFonts w:ascii="仿宋_GB2312" w:hAnsi="仿宋_GB2312" w:eastAsia="仿宋_GB2312" w:cs="仿宋_GB2312"/>
          <w:color w:val="000000"/>
          <w:kern w:val="0"/>
          <w:sz w:val="32"/>
          <w:szCs w:val="32"/>
          <w:lang w:val="en-US" w:eastAsia="zh-CN" w:bidi="ar"/>
        </w:rPr>
        <w:t>行政审判与行政应诉府院联动工作</w:t>
      </w:r>
      <w:r>
        <w:rPr>
          <w:rFonts w:hint="eastAsia" w:ascii="仿宋_GB2312" w:hAnsi="仿宋_GB2312" w:eastAsia="仿宋_GB2312" w:cs="仿宋_GB2312"/>
          <w:color w:val="000000"/>
          <w:kern w:val="0"/>
          <w:sz w:val="32"/>
          <w:szCs w:val="32"/>
          <w:lang w:val="en-US" w:eastAsia="zh-CN" w:bidi="ar"/>
        </w:rPr>
        <w:t>机制》，</w:t>
      </w:r>
      <w:r>
        <w:rPr>
          <w:rFonts w:hint="eastAsia" w:ascii="仿宋_GB2312" w:hAnsi="仿宋_GB2312" w:eastAsia="仿宋_GB2312" w:cs="仿宋_GB2312"/>
          <w:kern w:val="2"/>
          <w:sz w:val="32"/>
          <w:szCs w:val="32"/>
          <w:highlight w:val="none"/>
          <w:rtl w:val="0"/>
          <w:lang w:val="en-US" w:eastAsia="zh-CN" w:bidi="ar-SA"/>
        </w:rPr>
        <w:t>做好行政复议与行政诉讼衔接配合，</w:t>
      </w:r>
      <w:r>
        <w:rPr>
          <w:rFonts w:ascii="仿宋_GB2312" w:hAnsi="仿宋_GB2312" w:eastAsia="仿宋_GB2312" w:cs="仿宋_GB2312"/>
          <w:color w:val="000000"/>
          <w:kern w:val="0"/>
          <w:sz w:val="32"/>
          <w:szCs w:val="32"/>
          <w:lang w:val="en-US" w:eastAsia="zh-CN" w:bidi="ar"/>
        </w:rPr>
        <w:t>提升行政机关依法行政水平和行政应诉能力，推动行政争议实质性化解</w:t>
      </w:r>
      <w:r>
        <w:rPr>
          <w:rFonts w:hint="eastAsia" w:ascii="仿宋_GB2312" w:hAnsi="仿宋_GB2312" w:eastAsia="仿宋_GB2312" w:cs="仿宋_GB2312"/>
          <w:kern w:val="2"/>
          <w:sz w:val="32"/>
          <w:szCs w:val="32"/>
          <w:highlight w:val="none"/>
          <w:lang w:val="en-US" w:eastAsia="zh-CN" w:bidi="ar-SA"/>
        </w:rPr>
        <w:t>，营造公平有序的市场环境。</w:t>
      </w:r>
    </w:p>
    <w:p w14:paraId="401F1ED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（三）持续</w:t>
      </w:r>
      <w:r>
        <w:rPr>
          <w:rFonts w:hint="default" w:ascii="楷体_GB2312" w:hAnsi="楷体_GB2312" w:eastAsia="楷体_GB2312" w:cs="楷体_GB2312"/>
          <w:b/>
          <w:bCs/>
          <w:kern w:val="2"/>
          <w:sz w:val="32"/>
          <w:szCs w:val="32"/>
          <w:lang w:val="en-US" w:eastAsia="zh-CN" w:bidi="ar-SA"/>
        </w:rPr>
        <w:t>规范公正文明执法</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spacing w:val="-6"/>
          <w:kern w:val="2"/>
          <w:sz w:val="32"/>
          <w:szCs w:val="32"/>
          <w:lang w:val="en-US" w:eastAsia="zh-CN" w:bidi="ar-SA"/>
        </w:rPr>
        <w:t>严格落</w:t>
      </w:r>
      <w:r>
        <w:rPr>
          <w:rFonts w:hint="eastAsia" w:ascii="仿宋_GB2312" w:hAnsi="仿宋_GB2312" w:eastAsia="仿宋_GB2312" w:cs="仿宋_GB2312"/>
          <w:kern w:val="2"/>
          <w:sz w:val="32"/>
          <w:szCs w:val="32"/>
          <w:highlight w:val="none"/>
          <w:lang w:val="en-US" w:eastAsia="zh-CN" w:bidi="ar-SA"/>
        </w:rPr>
        <w:t>实行政执法“三项制度”，严格执行涉企行政检查100%“扫码入企”、行政执法主体、执法人员、执法事项100%平台公示，线上案件100%按程序办理要求，推动各行政执法主体运用省一体化大融合行政执法平台行政执法全流程线上办案。完善包容审慎柔性执法机制，</w:t>
      </w:r>
      <w:r>
        <w:rPr>
          <w:rFonts w:hint="eastAsia" w:ascii="仿宋_GB2312" w:hAnsi="仿宋_GB2312" w:eastAsia="仿宋_GB2312" w:cs="仿宋_GB2312"/>
          <w:kern w:val="2"/>
          <w:sz w:val="32"/>
          <w:szCs w:val="32"/>
          <w:highlight w:val="none"/>
          <w:rtl w:val="0"/>
          <w:lang w:val="en-US" w:eastAsia="zh-CN" w:bidi="ar-SA"/>
        </w:rPr>
        <w:t>深化乡镇行政执法赋权事项评估调整，提升乡镇综合执法能</w:t>
      </w:r>
      <w:r>
        <w:rPr>
          <w:rFonts w:hint="eastAsia" w:ascii="仿宋_GB2312" w:hAnsi="仿宋_GB2312" w:eastAsia="仿宋_GB2312" w:cs="仿宋_GB2312"/>
          <w:kern w:val="2"/>
          <w:sz w:val="32"/>
          <w:szCs w:val="32"/>
          <w:highlight w:val="none"/>
          <w:lang w:val="en-US" w:eastAsia="zh-CN" w:bidi="ar-SA"/>
        </w:rPr>
        <w:t>力水平；深化</w:t>
      </w:r>
      <w:r>
        <w:rPr>
          <w:rFonts w:hint="default" w:ascii="仿宋_GB2312" w:hAnsi="仿宋_GB2312" w:eastAsia="仿宋_GB2312" w:cs="仿宋_GB2312"/>
          <w:kern w:val="2"/>
          <w:sz w:val="32"/>
          <w:szCs w:val="32"/>
          <w:highlight w:val="none"/>
          <w:lang w:val="en-US" w:eastAsia="zh-CN" w:bidi="ar-SA"/>
        </w:rPr>
        <w:t>“综合查一次”</w:t>
      </w:r>
      <w:r>
        <w:rPr>
          <w:rFonts w:hint="eastAsia" w:ascii="仿宋_GB2312" w:hAnsi="仿宋_GB2312" w:eastAsia="仿宋_GB2312" w:cs="仿宋_GB2312"/>
          <w:kern w:val="2"/>
          <w:sz w:val="32"/>
          <w:szCs w:val="32"/>
          <w:highlight w:val="none"/>
          <w:lang w:val="en-US" w:eastAsia="zh-CN" w:bidi="ar-SA"/>
        </w:rPr>
        <w:t>、“片区联合执法”，</w:t>
      </w:r>
      <w:r>
        <w:rPr>
          <w:rFonts w:hint="default" w:ascii="仿宋_GB2312" w:hAnsi="仿宋_GB2312" w:eastAsia="仿宋_GB2312" w:cs="仿宋_GB2312"/>
          <w:kern w:val="2"/>
          <w:sz w:val="32"/>
          <w:szCs w:val="32"/>
          <w:highlight w:val="none"/>
          <w:lang w:val="en-US" w:eastAsia="zh-CN" w:bidi="ar-SA"/>
        </w:rPr>
        <w:t>加大行政执法案卷评查力度，推动严格规范公正文明执法。</w:t>
      </w:r>
    </w:p>
    <w:p w14:paraId="7C34C33E">
      <w:pPr>
        <w:pStyle w:val="21"/>
        <w:keepNext w:val="0"/>
        <w:keepLines w:val="0"/>
        <w:pageBreakBefore w:val="0"/>
        <w:widowControl w:val="0"/>
        <w:kinsoku/>
        <w:wordWrap/>
        <w:overflowPunct/>
        <w:topLinePunct w:val="0"/>
        <w:autoSpaceDN/>
        <w:bidi w:val="0"/>
        <w:spacing w:line="540" w:lineRule="exact"/>
        <w:ind w:firstLine="640"/>
        <w:textAlignment w:val="auto"/>
        <w:outlineLvl w:val="9"/>
        <w:rPr>
          <w:rFonts w:hint="eastAsia" w:hAnsi="仿宋_GB2312" w:cs="仿宋_GB2312"/>
          <w:color w:val="000000"/>
          <w:sz w:val="32"/>
          <w:szCs w:val="32"/>
        </w:rPr>
      </w:pPr>
      <w:r>
        <w:rPr>
          <w:rFonts w:hint="eastAsia" w:ascii="楷体_GB2312" w:hAnsi="楷体_GB2312" w:eastAsia="楷体_GB2312" w:cs="楷体_GB2312"/>
          <w:b/>
          <w:bCs/>
          <w:kern w:val="2"/>
          <w:sz w:val="32"/>
          <w:szCs w:val="32"/>
          <w:lang w:val="en-US" w:eastAsia="zh-CN" w:bidi="ar-SA"/>
        </w:rPr>
        <w:t>（四）持续深化法治素养提升。</w:t>
      </w:r>
      <w:r>
        <w:rPr>
          <w:rFonts w:hint="eastAsia" w:ascii="仿宋_GB2312" w:hAnsi="仿宋_GB2312" w:eastAsia="仿宋_GB2312" w:cs="仿宋_GB2312"/>
          <w:kern w:val="2"/>
          <w:sz w:val="32"/>
          <w:szCs w:val="32"/>
          <w:highlight w:val="none"/>
          <w:lang w:val="en-US" w:eastAsia="zh-CN" w:bidi="ar-SA"/>
        </w:rPr>
        <w:t>扎实做好“八五”普法收官总结和“九五”普法工作启动谋划。严格推行“谁执法谁普法”责任制，推进领导干部应知应会党内法规和法律法规清单制度不断深入实施。深化拓展“涉台枫桥”、“乡贤枫桥”品牌建设，加大“蒲公英+N”普法品牌的创建，强化“法律明白人”培养工作，通过以案释法、“法律七进”等活动，提高普法宣传的针对性、实效性，让人民群众的获得感成色更足、幸福感更可持续、安全感更有保障。</w:t>
      </w:r>
    </w:p>
    <w:p w14:paraId="7FF2B228">
      <w:pPr>
        <w:pStyle w:val="22"/>
        <w:keepNext w:val="0"/>
        <w:keepLines w:val="0"/>
        <w:pageBreakBefore w:val="0"/>
        <w:widowControl w:val="0"/>
        <w:kinsoku/>
        <w:wordWrap/>
        <w:overflowPunct/>
        <w:topLinePunct w:val="0"/>
        <w:autoSpaceDN/>
        <w:bidi w:val="0"/>
        <w:spacing w:line="540" w:lineRule="exact"/>
        <w:textAlignment w:val="auto"/>
        <w:outlineLvl w:val="9"/>
        <w:rPr>
          <w:rFonts w:hint="eastAsia"/>
        </w:rPr>
      </w:pPr>
    </w:p>
    <w:p w14:paraId="763A05DB">
      <w:pPr>
        <w:pStyle w:val="22"/>
        <w:keepNext w:val="0"/>
        <w:keepLines w:val="0"/>
        <w:pageBreakBefore w:val="0"/>
        <w:widowControl w:val="0"/>
        <w:kinsoku/>
        <w:wordWrap/>
        <w:overflowPunct/>
        <w:topLinePunct w:val="0"/>
        <w:autoSpaceDN/>
        <w:bidi w:val="0"/>
        <w:spacing w:line="540" w:lineRule="exact"/>
        <w:textAlignment w:val="auto"/>
        <w:outlineLvl w:val="9"/>
        <w:rPr>
          <w:rFonts w:hint="eastAsia"/>
        </w:rPr>
      </w:pPr>
    </w:p>
    <w:p w14:paraId="2B6EC2CF">
      <w:pPr>
        <w:keepNext w:val="0"/>
        <w:keepLines w:val="0"/>
        <w:pageBreakBefore w:val="0"/>
        <w:widowControl w:val="0"/>
        <w:kinsoku/>
        <w:wordWrap/>
        <w:overflowPunct/>
        <w:topLinePunct w:val="0"/>
        <w:autoSpaceDN/>
        <w:bidi w:val="0"/>
        <w:spacing w:line="540" w:lineRule="exact"/>
        <w:ind w:right="1098" w:firstLine="1280" w:firstLineChars="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中共清流县委             清流县人民政府</w:t>
      </w:r>
    </w:p>
    <w:p w14:paraId="564D6BC1">
      <w:pPr>
        <w:keepNext w:val="0"/>
        <w:keepLines w:val="0"/>
        <w:pageBreakBefore w:val="0"/>
        <w:widowControl w:val="0"/>
        <w:kinsoku/>
        <w:wordWrap/>
        <w:overflowPunct/>
        <w:topLinePunct w:val="0"/>
        <w:autoSpaceDN/>
        <w:bidi w:val="0"/>
        <w:spacing w:line="540" w:lineRule="exact"/>
        <w:ind w:firstLine="1920" w:firstLineChars="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3日</w:t>
      </w:r>
    </w:p>
    <w:p w14:paraId="5DE4E7E7">
      <w:pPr>
        <w:spacing w:line="540" w:lineRule="exact"/>
        <w:rPr>
          <w:rFonts w:hint="eastAsia" w:ascii="方正仿宋简体" w:hAnsi="仿宋_GB2312" w:eastAsia="方正仿宋简体" w:cs="仿宋_GB2312"/>
        </w:rPr>
      </w:pPr>
    </w:p>
    <w:p w14:paraId="0F95C801">
      <w:pPr>
        <w:pStyle w:val="7"/>
        <w:rPr>
          <w:rFonts w:hint="eastAsia" w:ascii="方正仿宋简体" w:hAnsi="仿宋_GB2312" w:eastAsia="方正仿宋简体" w:cs="仿宋_GB2312"/>
        </w:rPr>
      </w:pPr>
    </w:p>
    <w:p w14:paraId="40704EFD">
      <w:pPr>
        <w:pStyle w:val="7"/>
        <w:rPr>
          <w:rFonts w:hint="eastAsia" w:ascii="方正仿宋简体" w:hAnsi="仿宋_GB2312" w:eastAsia="方正仿宋简体" w:cs="仿宋_GB2312"/>
        </w:rPr>
      </w:pPr>
    </w:p>
    <w:p w14:paraId="207EEB3C">
      <w:pPr>
        <w:pStyle w:val="7"/>
        <w:rPr>
          <w:rFonts w:hint="eastAsia" w:ascii="方正仿宋简体" w:hAnsi="仿宋_GB2312" w:eastAsia="方正仿宋简体" w:cs="仿宋_GB2312"/>
        </w:rPr>
      </w:pPr>
    </w:p>
    <w:p w14:paraId="63305561">
      <w:pPr>
        <w:pStyle w:val="7"/>
        <w:rPr>
          <w:rFonts w:hint="eastAsia" w:ascii="方正仿宋简体" w:hAnsi="仿宋_GB2312" w:eastAsia="方正仿宋简体" w:cs="仿宋_GB2312"/>
        </w:rPr>
      </w:pPr>
    </w:p>
    <w:p w14:paraId="2A4F56CD">
      <w:pPr>
        <w:pStyle w:val="7"/>
        <w:rPr>
          <w:rFonts w:hint="eastAsia" w:ascii="方正仿宋简体" w:hAnsi="仿宋_GB2312" w:eastAsia="方正仿宋简体" w:cs="仿宋_GB2312"/>
        </w:rPr>
      </w:pPr>
    </w:p>
    <w:p w14:paraId="0C8D972D">
      <w:pPr>
        <w:pStyle w:val="7"/>
        <w:rPr>
          <w:rFonts w:hint="eastAsia" w:ascii="方正仿宋简体" w:hAnsi="仿宋_GB2312" w:eastAsia="方正仿宋简体" w:cs="仿宋_GB2312"/>
        </w:rPr>
      </w:pPr>
    </w:p>
    <w:p w14:paraId="5E312DFA">
      <w:pPr>
        <w:pStyle w:val="7"/>
        <w:rPr>
          <w:rFonts w:hint="eastAsia" w:ascii="方正仿宋简体" w:hAnsi="仿宋_GB2312" w:eastAsia="方正仿宋简体" w:cs="仿宋_GB2312"/>
        </w:rPr>
      </w:pPr>
    </w:p>
    <w:p w14:paraId="3855CEB5">
      <w:pPr>
        <w:pStyle w:val="7"/>
        <w:rPr>
          <w:rFonts w:hint="eastAsia" w:ascii="方正仿宋简体" w:hAnsi="仿宋_GB2312" w:eastAsia="方正仿宋简体" w:cs="仿宋_GB2312"/>
        </w:rPr>
      </w:pPr>
    </w:p>
    <w:p w14:paraId="2846DE69">
      <w:pPr>
        <w:pStyle w:val="7"/>
        <w:rPr>
          <w:rFonts w:hint="eastAsia" w:ascii="方正仿宋简体" w:hAnsi="仿宋_GB2312" w:eastAsia="方正仿宋简体" w:cs="仿宋_GB2312"/>
        </w:rPr>
      </w:pPr>
    </w:p>
    <w:p w14:paraId="0F6271F8">
      <w:pPr>
        <w:pStyle w:val="7"/>
        <w:rPr>
          <w:rFonts w:hint="eastAsia" w:ascii="方正仿宋简体" w:hAnsi="仿宋_GB2312" w:eastAsia="方正仿宋简体" w:cs="仿宋_GB2312"/>
        </w:rPr>
      </w:pPr>
    </w:p>
    <w:p w14:paraId="03D1C809">
      <w:pPr>
        <w:pStyle w:val="7"/>
        <w:rPr>
          <w:rFonts w:hint="eastAsia" w:ascii="方正仿宋简体" w:hAnsi="仿宋_GB2312" w:eastAsia="方正仿宋简体" w:cs="仿宋_GB2312"/>
        </w:rPr>
      </w:pPr>
    </w:p>
    <w:p w14:paraId="519073B6">
      <w:pPr>
        <w:pStyle w:val="7"/>
        <w:rPr>
          <w:rFonts w:hint="eastAsia" w:ascii="方正仿宋简体" w:hAnsi="仿宋_GB2312" w:eastAsia="方正仿宋简体" w:cs="仿宋_GB2312"/>
        </w:rPr>
      </w:pPr>
    </w:p>
    <w:p w14:paraId="01FDA32D">
      <w:pPr>
        <w:pStyle w:val="7"/>
        <w:rPr>
          <w:rFonts w:hint="eastAsia" w:ascii="方正仿宋简体" w:hAnsi="仿宋_GB2312" w:eastAsia="方正仿宋简体" w:cs="仿宋_GB2312"/>
        </w:rPr>
      </w:pPr>
    </w:p>
    <w:p w14:paraId="6E0883CF">
      <w:pPr>
        <w:pStyle w:val="7"/>
        <w:rPr>
          <w:rFonts w:hint="eastAsia" w:ascii="方正仿宋简体" w:hAnsi="仿宋_GB2312" w:eastAsia="方正仿宋简体" w:cs="仿宋_GB2312"/>
        </w:rPr>
      </w:pPr>
    </w:p>
    <w:p w14:paraId="35AD7B33">
      <w:pPr>
        <w:pStyle w:val="7"/>
        <w:rPr>
          <w:rFonts w:hint="eastAsia" w:ascii="方正仿宋简体" w:hAnsi="仿宋_GB2312" w:eastAsia="方正仿宋简体" w:cs="仿宋_GB2312"/>
        </w:rPr>
      </w:pPr>
    </w:p>
    <w:p w14:paraId="4B9AC307">
      <w:pPr>
        <w:pStyle w:val="7"/>
        <w:rPr>
          <w:rFonts w:hint="eastAsia" w:ascii="方正仿宋简体" w:hAnsi="仿宋_GB2312" w:eastAsia="方正仿宋简体" w:cs="仿宋_GB2312"/>
        </w:rPr>
      </w:pPr>
    </w:p>
    <w:p w14:paraId="71577E9F">
      <w:pPr>
        <w:spacing w:line="540" w:lineRule="exact"/>
        <w:rPr>
          <w:rFonts w:hint="eastAsia" w:ascii="仿宋_GB2312" w:hAnsi="仿宋_GB2312" w:eastAsia="仿宋_GB2312" w:cs="仿宋_GB2312"/>
          <w:sz w:val="32"/>
          <w:szCs w:val="32"/>
          <w:lang w:val="en-US" w:eastAsia="zh-CN"/>
        </w:rPr>
      </w:pPr>
      <w:r>
        <w:rPr>
          <w:rFonts w:hint="eastAsia" w:ascii="方正仿宋简体" w:eastAsia="方正仿宋简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12065</wp:posOffset>
                </wp:positionV>
                <wp:extent cx="55721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572125"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95pt;height:0pt;width:438.75pt;z-index:251661312;mso-width-relative:page;mso-height-relative:page;" filled="f" stroked="t" coordsize="21600,21600" o:gfxdata="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IL3K9QAAAAEAQAADwAAAAAAAAABACAAAAAiAAAAZHJzL2Rvd25yZXYueG1sUEsBAhQA&#10;FAAAAAgAh07iQCymhoL2AQAA5AMAAA4AAAAAAAAAAQAgAAAAIwEAAGRycy9lMm9Eb2MueG1sUEsF&#10;BgAAAAAGAAYAWQEAAIsFAAAAAA==&#10;">
                <v:fill on="f" focussize="0,0"/>
                <v:stroke weight="0.35pt" color="#000000" joinstyle="round"/>
                <v:imagedata o:title=""/>
                <o:lock v:ext="edit" aspectratio="f"/>
              </v:line>
            </w:pict>
          </mc:Fallback>
        </mc:AlternateContent>
      </w:r>
      <w:r>
        <w:rPr>
          <w:rFonts w:hint="eastAsia" w:ascii="方正仿宋简体" w:eastAsia="方正仿宋简体"/>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351790</wp:posOffset>
                </wp:positionV>
                <wp:extent cx="557212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572125"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7.7pt;height:0pt;width:438.75pt;z-index:251662336;mso-width-relative:page;mso-height-relative:page;" filled="f" stroked="t" coordsize="21600,21600" o:gfxdata="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SLPrXAAAACAEAAA8AAAAAAAAAAQAgAAAAIgAAAGRycy9kb3ducmV2LnhtbFBLAQIU&#10;ABQAAAAIAIdO4kAascpb9AEAAOQDAAAOAAAAAAAAAAEAIAAAACYBAABkcnMvZTJvRG9jLnhtbFBL&#10;BQYAAAAABgAGAFkBAACMBQAAAAA=&#10;">
                <v:fill on="f" focussize="0,0"/>
                <v:stroke weight="0.35pt" color="#000000" joinstyle="round"/>
                <v:imagedata o:title=""/>
                <o:lock v:ext="edit" aspectratio="f"/>
              </v:line>
            </w:pict>
          </mc:Fallback>
        </mc:AlternateContent>
      </w:r>
      <w:r>
        <w:rPr>
          <w:rFonts w:hint="eastAsia" w:ascii="方正仿宋简体" w:hAnsi="仿宋_GB2312" w:eastAsia="方正仿宋简体" w:cs="仿宋_GB2312"/>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30"/>
          <w:szCs w:val="30"/>
        </w:rPr>
        <w:t xml:space="preserve">中共清流县委办公室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6</w:t>
      </w:r>
      <w:bookmarkStart w:id="0" w:name="_GoBack"/>
      <w:bookmarkEnd w:id="0"/>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日印发</w:t>
      </w:r>
    </w:p>
    <w:sectPr>
      <w:headerReference r:id="rId3" w:type="default"/>
      <w:footerReference r:id="rId4" w:type="default"/>
      <w:footerReference r:id="rId5" w:type="even"/>
      <w:pgSz w:w="11906" w:h="16838"/>
      <w:pgMar w:top="2098" w:right="1417" w:bottom="1984" w:left="1531"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93040-9414-434A-B7E8-183332FA17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749605A-B35C-4B12-94BE-108C4E984D09}"/>
  </w:font>
  <w:font w:name="方正大标宋简体">
    <w:panose1 w:val="03000509000000000000"/>
    <w:charset w:val="86"/>
    <w:family w:val="auto"/>
    <w:pitch w:val="default"/>
    <w:sig w:usb0="00000001" w:usb1="080E0000" w:usb2="00000000" w:usb3="00000000" w:csb0="00040000" w:csb1="00000000"/>
    <w:embedRegular r:id="rId3" w:fontKey="{460250B9-014F-4026-842F-0AF845D51039}"/>
  </w:font>
  <w:font w:name="方正仿宋简体">
    <w:panose1 w:val="03000509000000000000"/>
    <w:charset w:val="86"/>
    <w:family w:val="auto"/>
    <w:pitch w:val="default"/>
    <w:sig w:usb0="00000001" w:usb1="080E0000" w:usb2="00000000" w:usb3="00000000" w:csb0="00040000" w:csb1="00000000"/>
    <w:embedRegular r:id="rId4" w:fontKey="{7233EBA1-57AD-4B2A-9BAF-E47A4BEF1D52}"/>
  </w:font>
  <w:font w:name="楷体">
    <w:panose1 w:val="02010609060101010101"/>
    <w:charset w:val="86"/>
    <w:family w:val="modern"/>
    <w:pitch w:val="default"/>
    <w:sig w:usb0="800002BF" w:usb1="38CF7CFA" w:usb2="00000016" w:usb3="00000000" w:csb0="00040001" w:csb1="00000000"/>
    <w:embedRegular r:id="rId5" w:fontKey="{3B33B8B3-55C5-4356-97BD-0C462AE1CD13}"/>
  </w:font>
  <w:font w:name="方正小标宋简体">
    <w:panose1 w:val="03000509000000000000"/>
    <w:charset w:val="86"/>
    <w:family w:val="auto"/>
    <w:pitch w:val="default"/>
    <w:sig w:usb0="00000001" w:usb1="080E0000" w:usb2="00000000" w:usb3="00000000" w:csb0="00040000" w:csb1="00000000"/>
    <w:embedRegular r:id="rId6" w:fontKey="{576F0CE9-C52D-4306-92F1-82F34AD714DD}"/>
  </w:font>
  <w:font w:name="楷体_GB2312">
    <w:panose1 w:val="02010609030101010101"/>
    <w:charset w:val="86"/>
    <w:family w:val="modern"/>
    <w:pitch w:val="default"/>
    <w:sig w:usb0="00000001" w:usb1="080E0000" w:usb2="00000000" w:usb3="00000000" w:csb0="00040000" w:csb1="00000000"/>
    <w:embedRegular r:id="rId7" w:fontKey="{B0D530D1-72F2-4807-AB43-23B509084656}"/>
  </w:font>
  <w:font w:name="仿宋">
    <w:panose1 w:val="02010609060101010101"/>
    <w:charset w:val="86"/>
    <w:family w:val="auto"/>
    <w:pitch w:val="default"/>
    <w:sig w:usb0="800002BF" w:usb1="38CF7CFA" w:usb2="00000016" w:usb3="00000000" w:csb0="00040001" w:csb1="00000000"/>
    <w:embedRegular r:id="rId8" w:fontKey="{93179842-BD99-4766-A3A4-4267621DF8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B31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B008A">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8B008A">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FD72">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5588958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B63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NGNlODMwZDYxODBmMmYwNjg2MGJhZTAwZDI2MTUifQ=="/>
  </w:docVars>
  <w:rsids>
    <w:rsidRoot w:val="00C463F9"/>
    <w:rsid w:val="00213E00"/>
    <w:rsid w:val="004C1B8C"/>
    <w:rsid w:val="005748AD"/>
    <w:rsid w:val="00814B56"/>
    <w:rsid w:val="00B10E57"/>
    <w:rsid w:val="00BA113A"/>
    <w:rsid w:val="00C03BD5"/>
    <w:rsid w:val="00C463F9"/>
    <w:rsid w:val="00F30765"/>
    <w:rsid w:val="01AF2283"/>
    <w:rsid w:val="02963E04"/>
    <w:rsid w:val="033215BD"/>
    <w:rsid w:val="037E3505"/>
    <w:rsid w:val="042A23EF"/>
    <w:rsid w:val="07C66F52"/>
    <w:rsid w:val="085A3E72"/>
    <w:rsid w:val="08656B52"/>
    <w:rsid w:val="0D350DE1"/>
    <w:rsid w:val="0D957AD2"/>
    <w:rsid w:val="10885608"/>
    <w:rsid w:val="11A93C63"/>
    <w:rsid w:val="122B4561"/>
    <w:rsid w:val="122F062D"/>
    <w:rsid w:val="16874680"/>
    <w:rsid w:val="16941BC7"/>
    <w:rsid w:val="1731377E"/>
    <w:rsid w:val="175F7D3E"/>
    <w:rsid w:val="183818C1"/>
    <w:rsid w:val="19133874"/>
    <w:rsid w:val="19450680"/>
    <w:rsid w:val="1A943D99"/>
    <w:rsid w:val="1B6639B9"/>
    <w:rsid w:val="1D57445C"/>
    <w:rsid w:val="1D9531D6"/>
    <w:rsid w:val="1DA54AF6"/>
    <w:rsid w:val="1DCD3912"/>
    <w:rsid w:val="1FA95A17"/>
    <w:rsid w:val="21B07CD6"/>
    <w:rsid w:val="21B96760"/>
    <w:rsid w:val="235B7CE6"/>
    <w:rsid w:val="23D14778"/>
    <w:rsid w:val="25702E9A"/>
    <w:rsid w:val="27090EBD"/>
    <w:rsid w:val="28905176"/>
    <w:rsid w:val="2AD66020"/>
    <w:rsid w:val="2B8F7F36"/>
    <w:rsid w:val="2BE30D8F"/>
    <w:rsid w:val="2BF2509A"/>
    <w:rsid w:val="2C0E5C83"/>
    <w:rsid w:val="2C1330B6"/>
    <w:rsid w:val="2C2C6087"/>
    <w:rsid w:val="2F891FF7"/>
    <w:rsid w:val="313922F8"/>
    <w:rsid w:val="31832D9D"/>
    <w:rsid w:val="32FA25E2"/>
    <w:rsid w:val="33F00D0E"/>
    <w:rsid w:val="346D0F88"/>
    <w:rsid w:val="349E5297"/>
    <w:rsid w:val="37BA58BB"/>
    <w:rsid w:val="37C702A9"/>
    <w:rsid w:val="38054CA0"/>
    <w:rsid w:val="3AD44DA5"/>
    <w:rsid w:val="3D31661F"/>
    <w:rsid w:val="3DBE7CC2"/>
    <w:rsid w:val="403822E0"/>
    <w:rsid w:val="404B5937"/>
    <w:rsid w:val="40D57BC5"/>
    <w:rsid w:val="410F7001"/>
    <w:rsid w:val="437A5904"/>
    <w:rsid w:val="44311B97"/>
    <w:rsid w:val="44D523CB"/>
    <w:rsid w:val="450B198F"/>
    <w:rsid w:val="460C65E8"/>
    <w:rsid w:val="46340F2E"/>
    <w:rsid w:val="469D2F78"/>
    <w:rsid w:val="46AF2030"/>
    <w:rsid w:val="46C6291D"/>
    <w:rsid w:val="47271786"/>
    <w:rsid w:val="48A83599"/>
    <w:rsid w:val="48AA2445"/>
    <w:rsid w:val="48F1396B"/>
    <w:rsid w:val="498521CD"/>
    <w:rsid w:val="4CB229E4"/>
    <w:rsid w:val="4EFA799A"/>
    <w:rsid w:val="4F1C0154"/>
    <w:rsid w:val="4F934F1E"/>
    <w:rsid w:val="4FAD5FDA"/>
    <w:rsid w:val="4FE647A7"/>
    <w:rsid w:val="507E211B"/>
    <w:rsid w:val="50957723"/>
    <w:rsid w:val="51062782"/>
    <w:rsid w:val="52DE2A6A"/>
    <w:rsid w:val="5336727E"/>
    <w:rsid w:val="552F3E99"/>
    <w:rsid w:val="58F810DA"/>
    <w:rsid w:val="5B21787C"/>
    <w:rsid w:val="5C6E7BB1"/>
    <w:rsid w:val="5E1831B8"/>
    <w:rsid w:val="5E7F64F9"/>
    <w:rsid w:val="5EBD78BB"/>
    <w:rsid w:val="5F431A06"/>
    <w:rsid w:val="603F5678"/>
    <w:rsid w:val="61685EE5"/>
    <w:rsid w:val="63F94C03"/>
    <w:rsid w:val="64016136"/>
    <w:rsid w:val="655578CE"/>
    <w:rsid w:val="674B14BD"/>
    <w:rsid w:val="67E43EB3"/>
    <w:rsid w:val="69D56401"/>
    <w:rsid w:val="6AE26FC1"/>
    <w:rsid w:val="6AE7478D"/>
    <w:rsid w:val="6BE25B53"/>
    <w:rsid w:val="6E241705"/>
    <w:rsid w:val="6E7A4BBF"/>
    <w:rsid w:val="6FC72266"/>
    <w:rsid w:val="70122903"/>
    <w:rsid w:val="71F82795"/>
    <w:rsid w:val="725E2F41"/>
    <w:rsid w:val="72BA33BC"/>
    <w:rsid w:val="74D57470"/>
    <w:rsid w:val="76A93BFE"/>
    <w:rsid w:val="7C5F7DAC"/>
    <w:rsid w:val="7CB74430"/>
    <w:rsid w:val="7CC3715A"/>
    <w:rsid w:val="7DD822DB"/>
    <w:rsid w:val="7E62581F"/>
    <w:rsid w:val="7FC237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pPr>
  </w:style>
  <w:style w:type="paragraph" w:styleId="3">
    <w:name w:val="Body Text"/>
    <w:basedOn w:val="1"/>
    <w:next w:val="1"/>
    <w:qFormat/>
    <w:uiPriority w:val="0"/>
    <w:pPr>
      <w:shd w:val="clear" w:color="auto" w:fill="FFFFFF"/>
      <w:spacing w:after="240" w:line="240" w:lineRule="atLeast"/>
      <w:jc w:val="center"/>
    </w:pPr>
    <w:rPr>
      <w:rFonts w:ascii="黑体" w:hAnsi="黑体" w:cs="黑体"/>
      <w:color w:val="auto"/>
      <w:sz w:val="27"/>
      <w:szCs w:val="27"/>
      <w:lang w:val="en-US" w:eastAsia="zh-CN"/>
    </w:rPr>
  </w:style>
  <w:style w:type="paragraph" w:styleId="4">
    <w:name w:val="index 5"/>
    <w:basedOn w:val="1"/>
    <w:next w:val="1"/>
    <w:autoRedefine/>
    <w:semiHidden/>
    <w:qFormat/>
    <w:uiPriority w:val="0"/>
    <w:pPr>
      <w:ind w:left="1680"/>
    </w:pPr>
    <w:rPr>
      <w:rFonts w:eastAsia="宋体"/>
    </w:rPr>
  </w:style>
  <w:style w:type="paragraph" w:styleId="5">
    <w:name w:val="Body Text Indent"/>
    <w:basedOn w:val="1"/>
    <w:unhideWhenUsed/>
    <w:qFormat/>
    <w:uiPriority w:val="99"/>
    <w:pPr>
      <w:spacing w:after="120"/>
      <w:ind w:left="420" w:leftChars="200"/>
    </w:pPr>
  </w:style>
  <w:style w:type="paragraph" w:styleId="6">
    <w:name w:val="Plain Text"/>
    <w:basedOn w:val="1"/>
    <w:autoRedefine/>
    <w:qFormat/>
    <w:uiPriority w:val="0"/>
    <w:rPr>
      <w:rFonts w:ascii="宋体" w:hAnsi="Courier New" w:eastAsia="宋体"/>
      <w:sz w:val="21"/>
      <w:szCs w:val="21"/>
    </w:rPr>
  </w:style>
  <w:style w:type="paragraph" w:styleId="7">
    <w:name w:val="Balloon Text"/>
    <w:basedOn w:val="1"/>
    <w:autoRedefine/>
    <w:semiHidden/>
    <w:qFormat/>
    <w:uiPriority w:val="0"/>
    <w:rPr>
      <w:rFonts w:eastAsia="宋体"/>
      <w:sz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link w:val="1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qFormat/>
    <w:uiPriority w:val="0"/>
    <w:pPr>
      <w:spacing w:after="0" w:line="360" w:lineRule="auto"/>
      <w:ind w:left="0" w:leftChars="0" w:firstLine="1040" w:firstLineChars="200"/>
    </w:pPr>
    <w:rPr>
      <w:sz w:val="24"/>
    </w:rPr>
  </w:style>
  <w:style w:type="character" w:styleId="14">
    <w:name w:val="page number"/>
    <w:basedOn w:val="13"/>
    <w:autoRedefine/>
    <w:qFormat/>
    <w:uiPriority w:val="99"/>
    <w:rPr>
      <w:rFonts w:cs="Times New Roman"/>
    </w:rPr>
  </w:style>
  <w:style w:type="paragraph" w:customStyle="1" w:styleId="15">
    <w:name w:val="Default"/>
    <w:qFormat/>
    <w:uiPriority w:val="99"/>
    <w:pPr>
      <w:widowControl w:val="0"/>
      <w:autoSpaceDE w:val="0"/>
      <w:autoSpaceDN w:val="0"/>
      <w:adjustRightInd w:val="0"/>
    </w:pPr>
    <w:rPr>
      <w:rFonts w:ascii="方正仿宋_GBK" w:hAnsi="Times New Roman" w:eastAsia="方正仿宋_GBK" w:cs="Times New Roman"/>
      <w:color w:val="000000"/>
      <w:kern w:val="0"/>
      <w:sz w:val="24"/>
      <w:szCs w:val="22"/>
      <w:lang w:val="en-US" w:eastAsia="zh-CN" w:bidi="ar-SA"/>
    </w:rPr>
  </w:style>
  <w:style w:type="character" w:customStyle="1" w:styleId="16">
    <w:name w:val="Footer Char"/>
    <w:basedOn w:val="13"/>
    <w:link w:val="8"/>
    <w:semiHidden/>
    <w:qFormat/>
    <w:uiPriority w:val="99"/>
    <w:rPr>
      <w:rFonts w:ascii="Calibri" w:hAnsi="Calibri"/>
      <w:sz w:val="18"/>
      <w:szCs w:val="18"/>
    </w:rPr>
  </w:style>
  <w:style w:type="character" w:customStyle="1" w:styleId="17">
    <w:name w:val="Header Char"/>
    <w:basedOn w:val="13"/>
    <w:link w:val="9"/>
    <w:autoRedefine/>
    <w:semiHidden/>
    <w:qFormat/>
    <w:uiPriority w:val="99"/>
    <w:rPr>
      <w:rFonts w:ascii="Calibri" w:hAnsi="Calibri"/>
      <w:sz w:val="18"/>
      <w:szCs w:val="18"/>
    </w:rPr>
  </w:style>
  <w:style w:type="paragraph" w:customStyle="1" w:styleId="18">
    <w:name w:val="1.正文"/>
    <w:basedOn w:val="1"/>
    <w:autoRedefine/>
    <w:qFormat/>
    <w:uiPriority w:val="99"/>
    <w:rPr>
      <w:rFonts w:ascii="Times New Roman" w:hAnsi="Times New Roman"/>
    </w:rPr>
  </w:style>
  <w:style w:type="paragraph" w:customStyle="1" w:styleId="19">
    <w:name w:val="UserStyle_0"/>
    <w:basedOn w:val="20"/>
    <w:autoRedefine/>
    <w:qFormat/>
    <w:uiPriority w:val="0"/>
    <w:pPr>
      <w:spacing w:after="120"/>
      <w:ind w:left="200" w:leftChars="200" w:firstLine="420" w:firstLineChars="200"/>
      <w:jc w:val="both"/>
      <w:textAlignment w:val="baseline"/>
    </w:pPr>
  </w:style>
  <w:style w:type="paragraph" w:customStyle="1" w:styleId="20">
    <w:name w:val="UserStyle_1"/>
    <w:basedOn w:val="1"/>
    <w:next w:val="1"/>
    <w:autoRedefine/>
    <w:qFormat/>
    <w:uiPriority w:val="0"/>
    <w:pPr>
      <w:spacing w:after="120"/>
      <w:ind w:left="200" w:leftChars="200"/>
      <w:jc w:val="both"/>
      <w:textAlignment w:val="baseline"/>
    </w:pPr>
  </w:style>
  <w:style w:type="paragraph" w:customStyle="1" w:styleId="21">
    <w:name w:val="新正文"/>
    <w:basedOn w:val="6"/>
    <w:next w:val="22"/>
    <w:autoRedefine/>
    <w:qFormat/>
    <w:uiPriority w:val="0"/>
    <w:pPr>
      <w:ind w:firstLine="200" w:firstLineChars="200"/>
    </w:pPr>
    <w:rPr>
      <w:rFonts w:ascii="仿宋_GB2312" w:eastAsia="仿宋_GB2312"/>
      <w:sz w:val="32"/>
    </w:rPr>
  </w:style>
  <w:style w:type="paragraph" w:styleId="2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4118</Words>
  <Characters>4307</Characters>
  <Lines>0</Lines>
  <Paragraphs>0</Paragraphs>
  <TotalTime>90</TotalTime>
  <ScaleCrop>false</ScaleCrop>
  <LinksUpToDate>false</LinksUpToDate>
  <CharactersWithSpaces>4373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2023-12-01T06:54:00Z</dcterms:created>
  <dc:creator>Administrator</dc:creator>
  <cp:lastModifiedBy>い惔ぁぁ嘫い</cp:lastModifiedBy>
  <cp:lastPrinted>2026-03-05T01:44:00Z</cp:lastPrinted>
  <dcterms:modified xsi:type="dcterms:W3CDTF">2026-03-10T03:34:29Z</dcterms:modified>
  <dc:title>中共清流县委全面依法治县委员会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12603F7B729F447B87CB6C1986824481_13</vt:lpwstr>
  </property>
  <property fmtid="{D5CDD505-2E9C-101B-9397-08002B2CF9AE}" pid="4" name="KSOTemplateDocerSaveRecord">
    <vt:lpwstr>eyJoZGlkIjoiNmUzNGNlODMwZDYxODBmMmYwNjg2MGJhZTAwZDI2MTUiLCJ1c2VySWQiOiIzMzI0MTEwOTkifQ==</vt:lpwstr>
  </property>
</Properties>
</file>